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F-5023/2021 vom 25. August 2022</w:t>
      </w:r>
    </w:p>
    <w:p>
      <w:r>
        <w:t>Bundesverwaltungsgericht, 2022-08-25, DE</w:t>
      </w:r>
    </w:p>
    <w:p>
      <w:r>
        <w:rPr>
          <w:b/>
        </w:rPr>
        <w:t xml:space="preserve">Quelle: </w:t>
      </w:r>
      <w:r>
        <w:t>https://mcp.opencaselaw.ch/entscheid/bvger_F-5023_2021</w:t>
      </w:r>
    </w:p>
    <w:p>
      <w:r>
        <w:t>FR: TAF F-5023/2021 du 25 août 2022</w:t>
      </w:r>
    </w:p>
    <w:p>
      <w:r>
        <w:t>IT: TAF F-5023/2021 del 25 agosto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Rechtmittels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 wie vom Beschwerdeführer geltend gemacht - seinen Anspruch auf rechtliches Gehör verletzt hat.</w:t>
      </w:r>
    </w:p>
    <w:p>
      <w:r>
        <w:rPr>
          <w:b/>
        </w:rPr>
        <w:t>E. 3.2</w:t>
      </w:r>
    </w:p>
    <w:p>
      <w:r>
        <w:t>Er macht geltend, er habe keine Gelegenheit erhalten, sich zum Sachverhalt im kantonalen Straf- und Verwaltungsverfahren zu äussern, da er keine Kenntnis von diesen Verfahren gehabt habe. Die unveränderte Übernahme der dort festgehaltenen Tatsachen in die angefochtene Verfügung stelle eine Verletzung seines rechtlichen Gehörs dar. Dies müsse zur Aufhebung des Einreiseverbots führen.</w:t>
      </w:r>
    </w:p>
    <w:p>
      <w:r>
        <w:rPr>
          <w:b/>
        </w:rPr>
        <w:t>E. 3.3</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3.4</w:t>
      </w:r>
    </w:p>
    <w:p>
      <w:r>
        <w:t>Die B._______ haben dem Beschwerdeführer mit Schreiben vom 13. Juli 2021 die Möglichkeit eingeräumt, zum beabsichtigten Widerruf der Aufenthaltsbewilligung Stellung zu nehmen. Dieses Schreiben war an die von ihm angegebene Adresse adressiert, konnte jedoch nicht zugestellt werden. Die Vorinstanz war somit nicht in der Lage, dem Beschwerdeführer vor Erlass der angefochtenen Verfügung das rechtliche Gehör zu gewähren. Die Publikation der entsprechenden Aufforderung im Amtsblatt ist folglich nachvollziehbar, wobei eine allfällige Verletzung des rechtlichen Gehörs ohnehin geheilt worden wäre, zumal der Beschwerdeführer seine Einwände im vorliegenden Verfahren geltend machen konnte und das Bundesverwaltungsgericht über eine volle Kognition verfügt. Anlässlich der Eröffnung des Einreiseverbots durch den Grenzwachtposten F._______ am 25. Oktober 2021 wurde ihm sodann die Möglichkeit eingeräumt, sich zur allfälligen Anordnung einer Fernhaltemassnahme zu äussern. Auch hiervon hat er keinen Gebrauch gemacht. Angesichts dieser Sachlage erweist sich die Rüge betreffend Verletzung des rechtlichen Gehörs als unbegründet.</w:t>
      </w:r>
    </w:p>
    <w:p>
      <w:r>
        <w:rPr>
          <w:b/>
        </w:rPr>
        <w:t>E. 4</w:t>
      </w:r>
    </w:p>
    <w:p>
      <w:r>
        <w:t>Der Beschwerdeführer ist Staatsangehöriger von Frankreich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5</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 Nicht vor-ausgesetzt wird dabei, dass die betroffene Person mit Sicherheit wieder delinquieren wird. Umgekehrt ist für das Verneinen der Rückfallgefahr auch nicht erforderlich, dass kein Restrisiko mehr besteht (Urteil des BGer 2C_1071/2016 vom 30. März 2017 E. 4.5.2).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des BGer 6B_378/2018 vom 22. Mai 2019 E. 3.5.2 in fine).</w:t>
      </w:r>
    </w:p>
    <w:p>
      <w:r>
        <w:rPr>
          <w:b/>
        </w:rPr>
        <w:t>E. 7.1</w:t>
      </w:r>
    </w:p>
    <w:p>
      <w:r>
        <w:t>Die Vorinstanz begründet das zweijährige Einreiseverbot mit dem Umstand, dass der Beschwerdeführer bei den B._______ um eine Aufenthaltsbewilligung EU/EFTA ersucht und in diesem Zusammenhang einen Mietvertrag sowie einen Arbeitsvertrag eines Teppichunternehmens vorgelegt habe. Kurz darauf hätten 15 weitere Personen, jeweils in Abständen von wenigen Tagen, mit den gleichen Angaben eine Aufenthaltsbewilligung beantragt. Anlässlich des Bewilligungsverfahrens hätten die B._______ in Erfahrung gebracht, dass das in C._______ ansässige Teppichunternehmen an mindestens drei Orten betrügerische Arbeiten durchgeführt habe. Es seien diverse Strafanträge durch die Kantonspolizei G._______ aufgenommen und zur Anzeige gebracht worden. Aufgrund der gesamten Unterlagen und der Anzahl Anmeldungen sowie der Strafermittlungen gegen das Teppichunternehmen sei davon auszugehen, dass es sich um simulierte Arbeitsverträge handle. Der Beschwerdeführer habe durch sein Verhalten versucht, die Behörden zu täuschen um sich damit einen Aufenthalt in der Schweiz zu erschleichen. Damit liege ein Verstoss gegen die Gesetzgebung dar, der die öffentliche Sicherheit und Ordnung gefährde (Art. 67 Abs. 2 Bst. a AIG i.V.m. Art. 77a Abs. 1 Bst. a und Art. 77a Abs. 2 VZAE). Es bestehe damit ein spezialpräventiv begründetes gewichtiges öffentliches Interesse an einer Fernhaltung des Beschwerdeführers, um künftige Störungen der öffentlichen Sicherheit und Ordnung zu verhindern. Aufgrund des bisherigen Verhaltens sei demnach weiterhin von einer Rückfallgefahr und damit auch von einer gegenwärtigen und hinreichend schweren Gefährdung, welche die Grundinteressen der Gesellschaft berühre, im Sinne von Art. 5 Anhang I FZA auszugehen. Der Beschwerdeführer sei in Frankreich aufgewachsen und sozialisiert worden. Er verfüge weder über kernfamiliäre Bindungen in der Schweiz noch habe er hier einen Aufenthaltstitel, womit er weder beruflich noch sozial integriert sei. Er habe aufgrund seines Verhaltens während längerer Zeit ausserhalb der Schweiz zu beweisen, dass er gewillt und fähig sei, sich in Zukunft an die geltende Rechtsordnung zu halten.</w:t>
      </w:r>
    </w:p>
    <w:p>
      <w:r>
        <w:rPr>
          <w:b/>
        </w:rPr>
        <w:t>E. 7.2</w:t>
      </w:r>
    </w:p>
    <w:p>
      <w:r>
        <w:t>Der Beschwerdeführer führt dagegen an, er sei französischer Staatsbürger und gehöre der Gemeinschaft der Fahrenden an. Er arbeite als reisender Handwerker und sei Gebäudemaler. Seit seiner Kindheit sei er zwischen März und Oktober regelmässig mit seiner Familie und seiner Gemeinschaft in die Schweiz gekommen. Dabei habe er die öffentliche Ordnung in der Schweiz stets respektiert und sich nichts zu Schulden kommen lassen. Anfangs 2021 habe ein gewisser H._______ angeboten, ihm gegen ein Entgelt zu einer Aufenthaltsbewilligung B zu verhelfen, um ihm damit die jährlichen Behördengänge zu erleichtern. Er habe ihm eine Bewilligung für EU-Bürger in Aussicht gestellt, die fünf Jahre lang gültig sei. Um die Genehmigung zu erhalten, habe H._______ ihm einen Vertrag vorgelegt und ihm gesagt, er solle sich beim Einwohneramt anmelden. Daraufhin habe er - der Beschwerdeführer - eine B-Bewilligung des Kantons E._______ erhalten. Er habe niemals die Absicht gehabt, gegen das Gesetz zu verstossen, sondern sei unwissentlich Opfer eines Betrugs geworden. Vielmehr habe er überhaupt keinen Grund gehabt, betrügerisch zu handeln, zumal er ohnehin auch ohne B-Bewilligung weiterhin in die Schweiz hätte einreisen dürfen. Als er am 25. Oktober 2021 am Flughafen I._______ gewesen sei, habe ihm die Grenzwache das Einreiseverbot eröffnet. Er habe nichts davon gewusst, dass er aus der Schweiz weggewiesen und mit einem Einreiseverbot belegt worden sei. Obwohl er nicht ganz verstanden habe, worum es sich handle, habe er die Papiere unterzeichnet. Die angefochtene Verfügung basiere auf einem unklaren Sachverhalt, der im Rahmen der noch nicht rechtskräftigen kantonalen Verfahren behauptet werde. Da er europäischer Staatsangehöriger sei, sehr oft mit seiner Familie und Gemeinschaft in die Schweiz komme und keine Vorstrafen gegen ihn vorliegen würden, sei die Verfügung eines Einreiseverbots nicht gerechtfertigt. Selbst wenn er für den ihm vorgeworfenen Sachverhalt verurteilt würde, würde es sich lediglich um eine geringfügige Verletzung der Rechtsordnung handeln, die keine tatsächliche und hinreichend schwere Gefährdung der öffentlichen Sicherheit und Ordnung darstelle. Das Einreiseverbot stelle folglich eine Verletzung von Art. 5 Anhang I FZA dar.</w:t>
      </w:r>
    </w:p>
    <w:p>
      <w:r>
        <w:rPr>
          <w:b/>
        </w:rPr>
        <w:t>E. 7.3</w:t>
      </w:r>
    </w:p>
    <w:p>
      <w:r>
        <w:t>In der Vernehmlassung führt die Vorinstanz aus, sie erachte das zweijährige Einreiseverbot weiterhin als verhältnismässig. Der Beschwerdeführer habe sich mit einem Arbeitsvertrag und einer angegebenen Wohnadresse bei der Fremdenpolizeibehörde angemeldet, um dadurch eine Aufenthaltsbewilligung zu erwirken. Dabei müsse ihm klar gewesen sein, dass er weder seinen Lebensmittelpunkt an die angegebene Domiziladresse verlegen noch den Arbeitsvertrag des Teppichunternehmens erfüllen werde. Damit liege eine Täuschung der Behörden vor. Die Ausführungen des Beschwerdeführers, wonach er Opfer eines Betrugs geworden sei, seien eine reine Schutzbehauptung. Unkenntnis oder Fehlinterpretation der Einreise- und Aufenthaltsvorschriften würden zudem in der Regel keinen hinreichenden Grund für ein Absehen von einer Fernhaltemassnahme darstellen. Der Beschwerdeführer sei mit Strafbefehl vom 1. Februar 2022 wegen Widerhandlung gegen das AIG durch Täuschung der Behörden verurteilt worden. Der Strafbefehl sei zwar noch nicht rechtskräftig. Die Anordnung eines Einreiseverbots knüpfe jedoch nicht an die Erfüllung einer Strafnorm oder an ein rechtskräftiges Strafurteil an, sondern an das Vorliegen einer Polizeigefahr. Eine solche sei angesichts der Täuschung der Behörden und versuchten Erschleichung einer Aufenthaltsbewilligung zu bejahen. Der Beschwerdeführer habe mit seinem Verhalten gegen die öffentliche Sicherheit und Ordnung verstossen. Erschwerend komme hinzu, dass es sich offensichtlich um ein systematisches Vorgehen von mehreren Personen im Umfeld eines vorwiegend in Deutschland ansässigen Clans handle. Gemäss Erkenntnissen des J._______ mehrten sich die Hinweise, dass der im grossen Stil auf Betrugsdelikte spezialisierte Clan immer mehr auch in der Schweiz aktiv sei. In den letzten Monaten seien zudem in der Schweiz mittels Maler- oder Teppichreinigungsfirmen, die Angehörigen dieses Clans gehörten, Arbeitsverträge für weitere Mitglieder und Personen aus ihrem Umfeld ausgestellt worden, um hierzulande eine fünfjährige Aufenthaltsbewilligung zu beantragen. Aufgrund der konkreten Vorgehensweise bestehe beim Beschwerdeführer weiterhin ein grosses Rückfallrisiko, weshalb eine hinreichend schwere Gefährdung der Grundinteressen der Gesellschaft zu bejahen sei.</w:t>
      </w:r>
    </w:p>
    <w:p>
      <w:r>
        <w:rPr>
          <w:b/>
        </w:rPr>
        <w:t>E. 7.4</w:t>
      </w:r>
    </w:p>
    <w:p>
      <w:r>
        <w:t>In der Replik bringt der Beschwerdeführer vor, das Strafverfahren sei sistiert. Die ihm zur Last gelegte Straftat, für welche bis zum Beweis des Gegenteils die Unschuldsvermutung gelte, rechtfertige keine Verhängung eines Einreiseverbots. Dies verletze nicht nur das Prinzip der Unschuldsvermutung, sondern auch das Legalitätsprinzip sowie eine grosse Anzahl fundamentaler Rechtsgrundsätze. Die Vorinstanz ziehe zur Begründung des Einreiseverbots einzig das hängige Strafverfahren heran. Sein Name erscheine zusammenhangslos und unbegründet in einem Bericht des J._______ und diene als Begründung für das Einreiseverbot. Er bestreite den Inhalt des Berichts sowie jegliche kriminelle Aktivität. Die Auszüge aus den schweizerischen, französischen und deutschen Strafregistern würden seine einwandfreie strafrechtliche Vergangenheit belegen. Es gebe begründete Zweifel an der Legalität des Berichts des J._______ sowie dessen Weitergabe innerhalb der Bundesverwaltung. Die aufgestellten Behauptungen würden die Straftatbestände der Ehrverletzung, des Amtsmissbrauchs und der Irreführung der Rechtspflege erfüllen und er werde sich strafrechtliche Schritte vorbehalten.</w:t>
      </w:r>
    </w:p>
    <w:p>
      <w:r>
        <w:rPr>
          <w:b/>
        </w:rPr>
        <w:t>E. 8.1</w:t>
      </w:r>
    </w:p>
    <w:p>
      <w:r>
        <w:t>Bereits wenige Monate nachdem der Beschwerdeführer gestützt auf einen von ihm eingereichten Arbeitsvertrag eine Aufenthaltsbewilligung erhalten hat, hat sein Arbeitgeber die Geschäftstätigkeit aufgegeben. Es kann offen gelassen werden, ob der Beschwerdeführer überhaupt vorhatte, für das entsprechende Unternehmen zu arbeiten oder ob das angegebene Arbeitsverhältnis von Anfang an nur zur Täuschung gedient hat. Jedenfalls konnte der Beschwerdeführer seiner Erwerbstätigkeit nicht (mehr) nachgehen, weshalb er keinen Anspruch auf eine Aufenthaltsbewilligung hatte. Fest steht ausserdem, dass er die entsprechenden Umstände den Behörden nicht mitgeteilt beziehungsweise verschwiegen hat. Mit Strafbefehl der Staatsanwaltschaft des Kantons E._______ vom 1. Februar 2022 wurde er zudem wegen Widerhandlungen gegen das AIG durch Täuschung der Behörden (Art. 118 Abs. 1 AIG) zu einer bedingten Geldstrafe von 140 Tagessätzen verurteilt. Das Verhalten des Beschwerdeführers ist als Verstoss gegen die öffentliche Sicherheit und Ordnung zu werten. Der Fernhaltegrund nach Art. 67 Abs. 2 Bst. a AIG ist somit gesetzt. Daran ändert die Rechtshängigkeit des Strafverfahrens nichts, zumal ein Einreiseverbot unabhängig vom Strafverfahren erlassen werden und grundsätzlich auch dann verhängt werden kann, wenn ein rechtskräftiges Strafurteil fehlt (vgl. dazu anstelle vieler: Urteile des BVGer F-3903/2020 vom 14. Mai 2020 E. 5.2.1; F-2781/2019 vom 19. November 2020 E. 6.4.2). Es gibt keinen Grund, die Ausführungen der Vorinstanz in der Vernehmlassung, wonach der Beschwerdeführer gegen ausländerrechtliche Bestimmungen verstossen hat, in Zweifel zu ziehen. Nachfolgend ist zu prüfen, ob vom Beschwerdeführer eine nach dem FZA vorausgesetzte Rückfallgefahr ausgeht.</w:t>
      </w:r>
    </w:p>
    <w:p>
      <w:r>
        <w:rPr>
          <w:b/>
        </w:rPr>
        <w:t>E. 8.2</w:t>
      </w:r>
    </w:p>
    <w:p>
      <w:r>
        <w:t>Das Verhalten des Beschwerdeführers ist keinesfalls zu bagatellisieren. Es gilt jedoch zu bedenken, dass er keine schwerwiegende Rechtsgutverletzung - darunter fallen Beeinträchtigung der physischen, psychischen und sexuellen Integrität, Drogenhandel, organisierte Kriminalität sowie Terrorismus und Menschenhandel (BGE 139 II 121 E. 6.3) - begangen hat. Dem Bericht des J._______ ist zwar zu entnehmen, dass der Beschwerdeführer womöglich im Zusammenhang mit einer betrügerischen Organisation steht. Konkrete Beweise für einen solchen Bezug beziehungsweise damit zusammenhängende Straftaten scheinen (bislang) jedoch nicht vorzuliegen. Zudem sind weder im schweizerischen noch im französischen oder deutschen Strafregister Einträge vorhanden. Dem Beschwerdeführer kann somit einzig die ihm in der Schweiz vorgeworfene Straftat (Täuschung der Behörden gemäss Art. 118 Abs. 1 AIG) zur Last gelegt werden, wobei das Strafverfahren noch pendent ist. Die Missachtung dieser ausländerrechtlichen Bestimmung wiegt zwar durchaus schwer, hat jedoch nicht das Mass erreicht, um eine freizügigkeitsbeschränkende Massnahme zu rechtfertigen (vgl. dazu auch Urteile des BVGer F-4567/2019, F-29472020 vom 10. September 2020 E. 7.1; C-8670/2010 vom 7. November 2012 E. 7.5 m.H.).</w:t>
      </w:r>
    </w:p>
    <w:p>
      <w:r>
        <w:rPr>
          <w:b/>
        </w:rPr>
        <w:t>E. 8.3</w:t>
      </w:r>
    </w:p>
    <w:p>
      <w:r>
        <w:t>Folglich stellt das fehlbare Verhalten des Beschwerdeführers in Anbetracht der konkreten Umstände (noch) keine hinreichende Gefährdung der öffentlichen Ordnung dar, welche die Grundinteressen der Gesellschaft berührt. Das gegen ihn verhängte Einreiseverbot hält somit vor dem Freizügigkeitsabkommen nicht stand.</w:t>
      </w:r>
    </w:p>
    <w:p>
      <w:r>
        <w:rPr>
          <w:b/>
        </w:rPr>
        <w:t>E. 9</w:t>
      </w:r>
    </w:p>
    <w:p>
      <w:r>
        <w:t>Aus diesen Erwägungen ergibt sich, dass die angefochtene Verfügung bundesrechtswidrig ist (Art. 49 Bst. a VwVG). Die Beschwerde ist daher gutzuheissen und die Verfügung vom 13. Oktober 2021 ist aufzuheben.</w:t>
      </w:r>
    </w:p>
    <w:p>
      <w:r>
        <w:rPr>
          <w:b/>
        </w:rPr>
        <w:t>E. 10</w:t>
      </w:r>
    </w:p>
    <w:p>
      <w:r>
        <w:t>Bei diesem Ausgang des Verfahrens sind keine Kosten aufzuerlegen (vgl. Art. 63 Abs. 1 und 2 VwVG). Dem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 Mangels Kostennote ist die Höhe der Parteientschädigung aufgrund der Akten festzulegen. Mit Blick auf die Notwendigkeit der Eingaben, die Komplexität der Streitsache in rechtlicher und tatsächlicher Hinsicht sowie in Anwendung der gesetzlichen Bemessungskriterien von Art. 8 ff. VGKE erscheint eine Parteientschädigung von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