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F-5019/2019 vom 27. Januar 2020</w:t>
      </w:r>
    </w:p>
    <w:p>
      <w:r>
        <w:t>Bundesverwaltungsgericht, 2020-01-27, DE</w:t>
      </w:r>
    </w:p>
    <w:p>
      <w:r>
        <w:rPr>
          <w:b/>
        </w:rPr>
        <w:t xml:space="preserve">Quelle: </w:t>
      </w:r>
      <w:r>
        <w:t>https://mcp.opencaselaw.ch/entscheid/bvger_F-5019_2019</w:t>
      </w:r>
    </w:p>
    <w:p>
      <w:r>
        <w:t>FR: TAF F-5019/2019 du 27 janvier 2020</w:t>
      </w:r>
    </w:p>
    <w:p>
      <w:r>
        <w:t>IT: TAF F-5019/2019 del 27 gennaio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(Art. 37 VGG).</w:t>
      </w:r>
    </w:p>
    <w:p>
      <w:r>
        <w:rPr>
          <w:b/>
        </w:rPr>
        <w:t>E. 1.2</w:t>
      </w:r>
    </w:p>
    <w:p>
      <w:r>
        <w:t>Die Beschwerdeführerin hat am vorangegangenen Einspracheverfahren teilgenommen und ist als Gastgeberin des Gesuchstellers durch die angefochtene Verfügung besonders berührt. Obwohl der fest anberaumte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daher einzutreten (Art. 50 und 52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Massgebend ist grundsätzlich die Sachlage zum Zeitpunkt seines Entscheides (vgl. BVGE 2014/1 E. 2 m.H.; 2011/43 E. 6.1).</w:t>
      </w:r>
    </w:p>
    <w:p>
      <w:r>
        <w:rPr>
          <w:b/>
        </w:rPr>
        <w:t>E. 3.1</w:t>
      </w:r>
    </w:p>
    <w:p>
      <w:r>
        <w:t>Der angefochtenen Verfügung liegt das Gesuch eines nigerianischen Staatsangehörigen um Erteilung eines Visums zu Besuchszwecken für die Schweiz zugrunde. Da sich der Gesuchsteller nicht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mit denen die Schweiz den Schengen-Besitzstand und die dazugehörigen gemeinschaftsrechtlichen Rechtsakte übernommen hat. Das AIG und seine Ausführungsbestimmungen gelangen nur insoweit zur Anwendung, als die Schengen-Assoziierungsabkommen keine abweichenden Bestimmungen enthalten (vgl. Art. 2 Abs. 2-5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Visumerteilung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 wie im Falle des aus Nigeria stammenden Gesuchstellers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3.4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3 Abs. 4 und Art. 7 VEV, Art. 25 Abs. 1 Bst. a Visakodex; ebenso Art. 6 Abs. 5 Bst. c SGK).</w:t>
      </w:r>
    </w:p>
    <w:p>
      <w:r>
        <w:rPr>
          <w:b/>
        </w:rPr>
        <w:t>E. 4</w:t>
      </w:r>
    </w:p>
    <w:p>
      <w:r>
        <w:t>Die Vorinstanz begründet vorliegend die Abweisung der Einsprache im Wesentlichen mit der nicht gesicherten Wiederausreise des Gesuchstellers.</w:t>
      </w:r>
    </w:p>
    <w:p>
      <w:r>
        <w:rPr>
          <w:b/>
        </w:rPr>
        <w:t>E. 4.1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Mit rund 191 Mio. Einwohnerinnen und Einwohnern ist Nigeria nicht nur das bevölkerungsreichste Land Afrikas, sondern gilt aufgrund seiner reichhaltigen Erdölvorkommen auch als stärkste Volkswirtschaft des Kontinents. Trotz der immensen Einnahmen aus dem Erdölexport hat ein Grossteil der Bevölkerung mit Armutsproblemen zu kämpfen. Die Konzentration auf das Erdöl hat zur Vernachlässigung des landwirtschaftlichen Sektors geführt - ein Sektor, welcher über 70% der arbeitenden Bevölkerung beschäftigt. Beinahe die Hälfte der nigerianischen Bevölkerung lebt heute unterhalb der Armutsgrenze - Tendenz steigend. Nigeria belegt im «Human Development Index» (HDI) Position 157 von 189 Ländern. Die Arbeitslosigkeit ist hoch, bei den Jugendlichen im Alter von 15 bis 35 Jahren wird sie auf über 50% geschätzt. Der Mangel an lohnabhängiger Beschäftigung führt dazu, dass immer mehr Nigerianerinnen und Nigerianer in den Grossstädten Überlebenschancen im informellen Wirtschaftssektor suchen. Auch verlässt eine Vielzahl der Einwohner in der Hoffnung auf ein besseres Leben ihre Heimat. Nigeria rangiert unter den wichtigsten Herkunftsländern von Asylgesuchen in Europa. Haupthindernis für die industrielle Entfaltung des Landes bleibt die mangelhafte Infrastrukturversorgung. Das Risiko von terroristischen Akten besteht im ganzen Land. Sprengstoff-Anschläge sowie bewaffnete Zusammenstösse zwischen den Sicherheitskräften und Terroristen oder anderen bewaffneten Gruppierungen fordern in mehreren Bundesstaaten regelmässig Todesopfer und Verletzte. Die islamistische Terrorgruppe "Boko Haram" ist seit Mitte 2010 für zahlreiche schwere Anschläge mit Tausenden von Todesopfern verantwortlich. Weitere Anschläge sind zu erwarten (vgl. zum Ganzen «www.liportal.de» Nigeria Wirtschaft &amp; Entwicklung, Stand: Dezember 2019; Gesellschaft, Stand: Dezember 2019; «www.auswaertiges-amt.de» Aussen- und Europapolitik Länder Nigeria Innenpolitik, Stand: 24. Mai 2019; «www.eda.admin.ch» &gt; Reisehinweise &amp; Vertretungen &gt; Nigeria &gt; Reisehinweise für Nigeria, publiziert am 7. August 2019; jeweils besucht im Januar 2020).</w:t>
      </w:r>
    </w:p>
    <w:p>
      <w:r>
        <w:rPr>
          <w:b/>
        </w:rPr>
        <w:t>E. 4.3</w:t>
      </w:r>
    </w:p>
    <w:p>
      <w:r>
        <w:t>Vor diesem Hintergrund ist nicht zu beanstanden, dass die Vorinstanz das Risiko einer nicht fristgerechten Wiederausreise von Besucherinnen und Besuchern aus Nigeria als grundsätzlich hoch einschätzt. Allerdings wäre es zu schematisch und nicht haltbar, generell und ohne spezifische Anhaltspunkte ausschliesslich aufgrund der allgemeinen Lage in der Herkunftsregion auf eine nicht hinreichend gesicherte Wiederausreise zu schliessen. Es gilt vielmehr, über die Situation im Herkunftsland hinaus, ebenfalls die weiteren Umstände zu würdigen.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m.H.; 2009/27 E. 8).</w:t>
      </w:r>
    </w:p>
    <w:p>
      <w:r>
        <w:rPr>
          <w:b/>
        </w:rPr>
        <w:t>E. 4.4</w:t>
      </w:r>
    </w:p>
    <w:p>
      <w:r>
        <w:t>Beim Gesuchsteller handelt es sich um einen 32-jährigen, ledigen Vater eines einjährigen Sohnes, für welchen er die alleinige elterliche Sorge innehat, womit von familiäre Verpflichtungen im Heimatland auszugehen ist. Das Zurücklassen (minderjähriger) Kinder bildet für sich allein aber noch keine Garantie für eine anstandslose und fristgerechte Wiederausreise nach einem Besuchsaufenthalt. Die Erfahrung zeigt, dass es in aller Regel vielmehr die individuell herrschenden wirtschaftlichen und sozialen Verhältnisse sind, die letztlich über Rückkehr oder Verbleib im Ausland entscheiden. Dass eine Familie vorübergehend getrennt wird, wird je nach Interessenlage in Kauf genommen. Dies umso eher, wenn die Betreuung des Kindes durch nahe Angehörige - in casu dessen Grossmutter - sichergestellt werden kann, und die rechtliche Möglichkeit besteht, das Kind, für welches der Gesuchsteller die elterliche Sorge und Obhut innehat, später nachzuziehen (vgl. Urteil des BVGer C-2552/2014 vom 2. Dezember 2014 E. 6.1 m.H.). Bezüglich seiner privaten Situation in Nigeria lässt sich dem Visumsantrag weiter entnehmen, dass der Gesuchsteller als Student an der A._______ (Nigeria) eingeschrieben sei (SEM act. 2/39). In den Akten finden sich jedoch keine Hinweise darauf, dass er zurzeit tatsächlich dort studiert. Die Beschwerdeführerin reichte zwar zwei Bescheinigungen ein, welche belegen, dass der Gesuchsteller von 2001 bis 2006 die Y._______ School in B._______ besucht und abgeschlossen hat. Belege bezüglich des angeblich vom Gesuchsteller aufgenommenen Studiums fehlen hingegen und wurden auch im vorliegenden Verfahren trotz Ankündigung der Beschwerdeführerin nicht nachgereicht (BVGer act. 1 und 3). Den Akten lassen sich demnach keine hinreichenden familiären und persönlichen Verpflichtungen entnehmen, welche den Gesuchsteller in nachhaltiger Weise von einer Emigration abhalten könnten.</w:t>
      </w:r>
    </w:p>
    <w:p>
      <w:r>
        <w:rPr>
          <w:b/>
        </w:rPr>
        <w:t>E. 4.5</w:t>
      </w:r>
    </w:p>
    <w:p>
      <w:r>
        <w:t>Auch in wirtschaftlicher Hinsicht kann nichts zu Gunsten des Gesuchstellers abgeleitet werden. Er gab im Antrag auf Erteilung eines Schengen-Visums an, erwerbslos zu sein (SEM act. 2/39). Anlässlich der Inlandabklärung bringt die Beschwerdeführerin vor, dass der Gesuchsteller im Familienbetrieb bei der Produktion und beim Verkauf von Bananenchips mithelfe und auch nach seiner Rückkehr die Familie weiter unterstützen werde (SEM act. 5/65-66). Dieser Umstand lässt jedoch nicht darauf schliessen, dass er sich in wirtschaftlich soliden Verhältnissen befindet. Aus einem eingereichten Kontoauszug der «C._______ Bank» lässt sich entnehmen, dass er per 14. August 2019 über ein Schlussguthaben von NGN 46'669.76 (ca. CHF 126) verfügte, dieses jedoch hauptsächlich auf wiederholte Unterstützungsleistungen der Beschwerdeführerin zurückzuführen ist (SEM act. 5/58-62). In den Akten finden sich keine weiteren Belege hinsichtlich der Vermögensverhältnisse des Gesuchstellers. Insgesamt ist nicht von wirtschaftlichen Verhältnissen oder beruflichen Verpflichtungen auszugehen, welche den Gesuchsteller von einer Emigration abzuhalten vermöchten.</w:t>
      </w:r>
    </w:p>
    <w:p>
      <w:r>
        <w:rPr>
          <w:b/>
        </w:rPr>
        <w:t>E. 5</w:t>
      </w:r>
    </w:p>
    <w:p>
      <w:r>
        <w:t>Aufgrund vorstehender Erwägungen durfte die Vorinstanz davon ausgehen, die Wiederausreise des Eingeladenen sei im Sinne der massgeblichen Bestimmungen nicht gesichert. An dieser Einschätzung ändert auch die Tatsache nichts, dass die Beschwerdeführerin eine Verpflichtungserklärung abgegeben und damit ihr Vertrauen in ein rechtskonformes Verhalten ihres Gastes zum Ausdruck gebracht hat. Auch wenn der Wunsch der Beschwerdeführerin, den Gesuchsteller in die Schweiz einzuladen, verständlich ist, gilt es zu bedenken, dass bei der Risikobeurteilung in erster Linie das mögliche Verhalten des Gastes selbst von Bedeutung ist. Gastgeber können mit rechtlich verbindlicher Wirkung zwar für gewisse finanzielle Risiken im Zusammenhang mit dem Besuchsaufenthalt, nicht aber für ein bestimmtes Tun oder Unterlassen ihres Gastes einstehen (vgl. in diesem Zusammenhang auch BVGE 2009/27 E. 9). Soweit die Beschwerdeführerin schliesslich vorbringt, dass der Bruder des Gesuchstellers bereits Deutschland bereisen durfte, gilt es darauf hinzuweisen, dass jeder Einzelfall eine ihm eigene und spezifische Konstellation aufweist, so dass er nicht ohne weiteres mit anderen Fällen verglichen werden kann (BVGer act. 1). Mit diesen Ausführungen fehlt es an einer unabdingbaren Voraussetzung für die Erteilung eines einheitlichen Visums für den Schengen-Raum.</w:t>
      </w:r>
    </w:p>
    <w:p>
      <w:r>
        <w:rPr>
          <w:b/>
        </w:rPr>
        <w:t>E. 6</w:t>
      </w:r>
    </w:p>
    <w:p>
      <w:r>
        <w:t>Gestützt auf die obigen Erwägungen ist die angefochtene Verfügung im Lichte von Art. 49 VwVG nicht zu beanstanden. Die Beschwerde ist daher abzuweisen.</w:t>
      </w:r>
    </w:p>
    <w:p>
      <w:r>
        <w:rPr>
          <w:b/>
        </w:rPr>
        <w:t>E. 7</w:t>
      </w:r>
    </w:p>
    <w:p>
      <w:r>
        <w:t>Bei diesem Ausgang des Verfahrens sind die Kosten der Beschwerdeführerin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