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F-5016/2021 vom 21. Oktober 2021</w:t>
      </w:r>
    </w:p>
    <w:p>
      <w:r>
        <w:t>Bundesverwaltungsgericht, 2021-10-21, DE</w:t>
      </w:r>
    </w:p>
    <w:p>
      <w:r>
        <w:rPr>
          <w:b/>
        </w:rPr>
        <w:t xml:space="preserve">Quelle: </w:t>
      </w:r>
      <w:r>
        <w:t>https://mcp.opencaselaw.ch/entscheid/bvger_F-5016_2021_d20211021</w:t>
      </w:r>
    </w:p>
    <w:p>
      <w:r>
        <w:t>FR: TAF F-5016/2021 du 21 octobre 2021</w:t>
      </w:r>
    </w:p>
    <w:p>
      <w:r>
        <w:t>IT: TAF F-5016/2021 del 21 ottobre 2021</w:t>
      </w:r>
    </w:p>
    <w:p>
      <w:pPr>
        <w:pStyle w:val="Heading2"/>
      </w:pPr>
      <w:r>
        <w:t>Regeste</w:t>
      </w:r>
    </w:p>
    <w:p>
      <w:r>
        <w:t>Einreiseverbot | Einreiseverbot; Verfügung des SEM vom 21. Oktober 2021</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F-5016/2021 Seite 5</w:t>
      </w:r>
    </w:p>
    <w:p>
      <w:r>
        <w:rPr>
          <w:b/>
        </w:rPr>
        <w:t>E. 1.3</w:t>
      </w:r>
    </w:p>
    <w:p>
      <w:r>
        <w:t>Der Beschwerdeführer ist als Verfügungsadressat zur Beschwerde le- gitimiert (Art. 48 Abs. 1 VwVG). Auf die frist- und formgerecht eingereichte Beschwerde ist einzutreten (Art. 50 Abs. 1 und Art.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Sachverhaltes und die Unangemessenheit gerügt wer- den (Art. 49 VwVG). Das Bundesverwaltungsgericht wendet im Beschwer- deverfahren das Bundesrecht von Amtes wegen an und ist nicht an die Begründung der Begehren gebunden (Art. 62 Abs. 4 VwVG). Massgebend ist grundsätzlich die Sachlage im Zeitpunkt seines Entscheids (BVGE 2020 VII/4 E. 2.2 m.H.).</w:t>
      </w:r>
    </w:p>
    <w:p>
      <w:r>
        <w:rPr>
          <w:b/>
        </w:rPr>
        <w:t>E. 3.1</w:t>
      </w:r>
    </w:p>
    <w:p>
      <w:r>
        <w:t>Die Vorinstanz kann gestützt auf Art. 67 Abs. 2 aBst. a AIG in der hier anwendbaren, bis am 21. November 2022 gültig gewesenen Fassung vom 18. Juni 2010 (AS 2010 5925) Einreiseverbote gegen ausländische Perso- nen verfügen, die gegen die öffentliche Sicherheit und Ordnung in der Schweiz oder im Ausland verstossen haben oder diese gefährden. Das Einreiseverbot wird für eine Dauer von höchstens fünf Jahren verhängt. Die Anordnung eines Einreiseverbots von mehr als fünf Jahren Dauer ist zu- lässig, wenn von der ausländischen Person eine schwerwiegende Gefahr für die öffentliche Sicherheit und Ordnung ausgeht (Art. 67 Abs. 3 AIG). Aus humanitären oder anderen wichtigen Gründen kann die zuständige Be- hörde von einem Einreiseverbot absehen oder ein Einreiseverbot vollstän- dig oder vorübergehend aufheben (Art. 67 Abs. 5 AIG).</w:t>
      </w:r>
    </w:p>
    <w:p>
      <w:r>
        <w:rPr>
          <w:b/>
        </w:rPr>
        <w:t>E. 3.2</w:t>
      </w:r>
    </w:p>
    <w:p>
      <w:r>
        <w:t>Das Einreiseverbot dient der Abwendung künftiger Störungen der öf- fentlichen Sicherheit und Ordnung (Botschaft vom 2. März 2002 zum Bun- desgesetz über die Ausländerinnen und Ausländer [BBl 2002 3709, 3813]). Soweit Art. 67 Abs. 2 aBst. a erster Halbsatz AIG mit dem Verstoss gegen die öffentliche Sicherheit und Ordnung unmittelbar an vergangenes Verhal- ten des Betroffenen anknüpft, steht die Gefahrenabwehr durch General- prävention im Vordergrund (zur Generalprävention im Ausländerrecht vgl. Urteil des BGer 2C_282/2012 vom 31. Juli 2012 E. 2.5 m.H.). Die Spezial- prävention kommt zum Tragen, soweit Art. 67 Abs. 2 aBst. a zweiter Halb- satz AIG als alternativen Fernhaltegrund die Gefährdung der öffentlichen Sicherheit und Ordnung durch den Betroffenen selbst nennt. Ob diese vor- liegt, ist gestützt auf die gesamten Umstände des Einzelfalles im Sinne</w:t>
      </w:r>
    </w:p>
    <w:p>
      <w:r>
        <w:t>F-5016/2021 Seite 6 einer Prognose zu beurteilen, die sich naturgemäss in erster Linie auf das vergangene Verhalten des Betroffenen abstützen muss.</w:t>
      </w:r>
    </w:p>
    <w:p>
      <w:r>
        <w:rPr>
          <w:b/>
        </w:rPr>
        <w:t>E. 3.3</w:t>
      </w:r>
    </w:p>
    <w:p>
      <w:r>
        <w:t>Die öffentliche Sicherheit und Ordnung im Sinne von Art. 67 Abs. 2 aBst. a AIG bildet den Oberbegriff für die Gesamtheit der polizeilichen Schutzgüter. Sie umfasst unter anderem die Unverletzlichkeit der objekti- ven Rechtsordnung und der Rechtsgüter Einzelner (vgl. BBl 2002 3709, 3808 f.,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Die Annahme einer Gefährdung der öffentlichen Si- cherheit und Ordnung setzt konkrete Anhaltspunkte dafür voraus, dass der Aufenthalt des Betroffenen in der Schweiz mit erheblicher Wahrscheinlich- keit zu einem Verstoss gegen die öffentliche Sicherheit und Ordnung füh- ren wird (Art. 77a Abs. 2 VZAE).</w:t>
      </w:r>
    </w:p>
    <w:p>
      <w:r>
        <w:rPr>
          <w:b/>
        </w:rPr>
        <w:t>E. 4.1</w:t>
      </w:r>
    </w:p>
    <w:p>
      <w:r>
        <w:t>Die Vorinstanz nimmt zur Begründung des Einreiseverbots implizit auf den dem Strafbefehl vom 21. Oktober 2021 zugrunde liegenden Sachver- halt Bezug und wirft dem Beschwerdeführer vor, ohne Bewilligung erwerbs- tätig gewesen zu sein. Ein solches Verhalten stelle eine Verletzung der Rechtsordnung dar. Gestützt auf Art. 67 Abs. 2 aBst. a AuG sei unabhän- gig von einem allfälligen Strafverfahren eine Fernhaltemassnahme zum Schutz der öffentlichen Sicherheit und Ordnung angezeigt.</w:t>
      </w:r>
    </w:p>
    <w:p>
      <w:r>
        <w:rPr>
          <w:b/>
        </w:rPr>
        <w:t>E. 4.2</w:t>
      </w:r>
    </w:p>
    <w:p>
      <w:r>
        <w:t>Der Beschwerdeführer wendet ein, er habe gegen den Strafbefehl vom 21. Oktober 2021 form- und fristgerecht Einsprache erhoben. Es liege so- mit keine rechtskräftige Verurteilung vor, weshalb vorderhand die Un- schuldsvermutung zur Anwendung gelange. Im ausländerrechtlichen Ver- fahren könne nichts anderes gelten. Hinzu komme, dass er bisher nicht staatsanwaltschaftlich befragt worden sei. Es seien auch keine Auskunfts- personen einvernommen oder sonstigen Ermittlungen zur Aufklärung des Tatvorwurfs durchgeführt worden. Dies wäre umso notwendiger gewesen, als er im Strafverfahren von Anfang an bestritten habe, in der Schweiz einer Erwerbstätigkeit nachgegangen zu sein.</w:t>
      </w:r>
    </w:p>
    <w:p>
      <w:r>
        <w:rPr>
          <w:b/>
        </w:rPr>
        <w:t>E. 5.1</w:t>
      </w:r>
    </w:p>
    <w:p>
      <w:r>
        <w:t>Das Bundesverwaltungsgericht erinnert daran, dass im ausländer- rechtlichen Administrativverfahren andere Verfahrens- und Beweisregeln als im Strafrecht gelten. Das Strafrecht und das Ausländerrecht verfolgen</w:t>
      </w:r>
    </w:p>
    <w:p>
      <w:r>
        <w:t>F-5016/2021 Seite 7 zudem unterschiedliche Ziele und schützen andere Interessen. So ist die Nichtbeachtung der öffentlichen Sicherheit und Ordnung im Sinne des Aus- länderrechts nicht notwendigerweise mit der Verletzung von Strafbestim- mungen deckungsgleich. Während die Entscheidung des Strafgerichts in erster Linie von der strafrechtlichen Zurechnung sowie von Überlegungen im Zusammenhang mit der sozialen Wiedereingliederung des Verurteilten bestimmt wird, ist bei den Migrationsbehörden die Sorge um die öffentliche Sicherheit und Ordnung ausschlaggebend. Die ausländerrechtliche Beur- teilung kann strenger oder anders ausfallen als diejenige der Strafbehörde (vgl. BGE 140 I 145 E. 4.3; 130 II 493 E. 4.2; Urteile des BVGer F-1421/2022 vom 13. September 2023 E. 7 .3; F-2128/2022 vom 28. No- vember 2022 E. 6.5.2; F-1367/2019 vom 20. Juli 2021 E. 9.3.2).</w:t>
      </w:r>
    </w:p>
    <w:p>
      <w:r>
        <w:rPr>
          <w:b/>
        </w:rPr>
        <w:t>E. 5.2</w:t>
      </w:r>
    </w:p>
    <w:p>
      <w:r>
        <w:t>Im Ausländerrecht hat die Behörde daher in eigener Zuständigkeit un- ter Zugrundelegung spezifischer ausländerrechtlicher Kriterien zu beurtei- len, ob eine Störung oder Gefährdung der öffentlichen Sicherheit und Ord- nung vorliegt. Entsprechend kann ein Einreiseverbot auch dann ergehen, wenn ein rechtskräftiges Strafurteil fehlt, sei es, weil ein Strafverfahren nicht eröffnet oder eingestellt wurde oder, wie in casu, noch hängig ist (vgl. Urteile des BVGer F-1421/2022 vom 13. September 2023; F- 5081/2021 vom 31. Oktober 2022 E. 8.2; F-4221/2021 vom 24. Juni 2022 E. 5.1). Unter Berücksichtigung des strafrechtlichen Prinzips der Un- schuldsvermutung darf die Behörde jedoch Verfehlungen, die nicht (oder noch nicht) zu einer Verurteilung geführt haben, nur berücksichtigen, so- weit sie unbestritten sind oder wenn aufgrund der Akten keine ernsthaften Zweifel bestehen, dass sie der betreffenden Person zur Last zu legen sind (vgl. Urteil des BGer 2C_39/2016 vom 31. August 2016 E. 2.5; Urteil F-1367/2019 E. 9.3.4).</w:t>
      </w:r>
    </w:p>
    <w:p>
      <w:r>
        <w:rPr>
          <w:b/>
        </w:rPr>
        <w:t>E. 5.3</w:t>
      </w:r>
    </w:p>
    <w:p>
      <w:r>
        <w:t>Die letztgenannten Voraussetzungen (keine ernsthaften Zweifel) sind, wie nachfolgend zu zeigen sein wird, in der vorliegenden Streitsache erfüllt.</w:t>
      </w:r>
    </w:p>
    <w:p>
      <w:r>
        <w:rPr>
          <w:b/>
        </w:rPr>
        <w:t>E. 5.3.1</w:t>
      </w:r>
    </w:p>
    <w:p>
      <w:r>
        <w:t>Gemäss Art. 11 Abs. 1 AIG benötigen Personen, die in der Schweiz eine Erwerbstätigkeit ausüben wollen, unabhängig von der Aufenthalts- dauer eine Bewilligung. Der ausländerrechtliche Begriff der Erwerbstätig- keit ist, um Umgehungen vorzubeugen, weit gefasst (vgl. SPESCHA, in: Spescha et al. [Hrsg.], Kommentar Migrationsrecht, 5. Aufl. 2019, Art. 11 AIG N. 2). Als Erwerbstätigkeit im Sinne des Gesetzes gilt dabei jede übli- cherweise gegen Entgelt ausgeübte unselbständige oder selbständige Tä- tigkeit, selbst wenn sie unentgeltlich erfolgt (Art. 11 Abs. 2 AIG). Eine Tä- tigkeit gilt dann als üblicherweise gegen Entgelt verrichtet, wenn sie ihrer</w:t>
      </w:r>
    </w:p>
    <w:p>
      <w:r>
        <w:t>F-5016/2021 Seite 8 Art und ihrem Umfang nach auf dem schweizerischen Arbeits- und Dienst- leistungsmarkt angeboten wird (vgl. Urteil des BVGer F-2128/2022 vom 28. November 2022 E. 6.2; EGLI/MEYER, in: Caroni et al. [Hrsg.], Handkom- mentar zum Bundesgesetz über die Ausländerinnen und Ausländer, 2010, Art. 11 N. 6). Für die Qualifizierung einer Aktivität als Erwerbstätigkeit im Sinne des Gesetzes ist dabei unerheblich, ob sie nur stunden- oder tage- weise oder vorübergehend ausgeübt wird (Art. 1a Abs. 1 VZAE).</w:t>
      </w:r>
    </w:p>
    <w:p>
      <w:r>
        <w:rPr>
          <w:b/>
        </w:rPr>
        <w:t>E. 5.3.2</w:t>
      </w:r>
    </w:p>
    <w:p>
      <w:r>
        <w:t>Unbestritten ist, dass der Beschwerdeführer während seines Aufent- haltes in der Schweiz von Dritten nicht mehr gebrauchtes Material entge- gennahm und es teils für den Export und Weiterverkauf im Ausland behielt und teils bei entsprechenden Entsorgungsstellen abgab (je nach Material gegen Vergütung oder eine Gebühr). Es ist offenkundig, dass diese Aktivi- täten als Erwerbstätigkeit im Sinne des Gesetzes gelten, für die der Be- schwerdeführer eine Bewilligung benötigt hätte, welche er nicht besass. Ob er von seinen schweizerischen Kunden als Gegenleistung für seine Dienste Geld erhielt, was er in der polizeilichen Einvernahme bestritt, oder ob ein Tauschgeschäft vorliegt (Entsorgung des Materials auf eigene Kos- ten gegen Überlassung des Eigentums am Material), wie er selbst zu Pro- tokoll gab (Ziff. 19), ist für die Qualifikation der Aktivität als Erwerbstätigkeit im Sinne des Gesetzes nicht von Bedeutung.</w:t>
      </w:r>
    </w:p>
    <w:p>
      <w:r>
        <w:rPr>
          <w:b/>
        </w:rPr>
        <w:t>E. 5.3.3</w:t>
      </w:r>
    </w:p>
    <w:p>
      <w:r>
        <w:t>Im Übrigen sind die Aussagen des Beschwerdeführers zum Zweck des Aufenthalts in der Schweiz und dem Umfang seiner Aktivitäten hier nicht glaubhaft. Es erscheint als wesentlich plausibler, dass seine Einreise in die Schweiz zum vornherein Erwerbszwecken diente und seine Aktivitä- ten entsprechend den ihm offensichtlich zur Verfügung stehenden Geldmit- teln viel umfangreicher waren, als er glauben lassen will. In der polizeilichen Einvernahme brachte der Beschwerdeführer vor, dass er am 11. August in die Schweiz eingereist sei, um eine seiner beiden er- wachsenen, aus der geschiedenen Ehe stammenden Töchter zu besuchen und um ärztliche Hilfe in Anspruch zu nehmen (Ziff. 5). Er weigerte sich jedoch, auch nur den Namen seiner Tochter zu nennen, und seine Äusse- rungen deuten darauf hin, dass die Beziehung zu ihr alles andere als intakt ist (Ziff. 12, 13). Der Beschwerdeführer zeigte sich zudem nicht bereit, seine Zustimmung zur Einholung von Auskünften bei seinen angeblichen Ärzten zu erteilen (Ziff. 42). Der Beschwerdeführer, gemäss Rechtsmittelschrift ohne Einkommen und Vermögen, sagte ferner aus, dass er am 11. August 2021 mit einer</w:t>
      </w:r>
    </w:p>
    <w:p>
      <w:r>
        <w:t>F-5016/2021 Seite 9 Barschaft von 600 Euro in die Schweiz eingereist sei und davon noch rund 250 Franken besitze (Ziff. 20-22). Aus seiner Barschaft von 600 Euro habe er unter anderem für 250 Franken den von ihm gesteuerten Lieferwagen gekauft (Ziff. 22, 27). Bei Wahrunterstellung seiner Vorbringen benötigte er somit rund 100 Franken, um während seines mehr als zweimonatigen Auf- enthalts in der Schweiz nicht nur seinen Lebensunterhalt zu bestreiten, sondern auch seine mit seinen Aktivitäten verbundenen Unkosten zu de- cken (Treibstoffkosten, Entsorgungsgebühren). Auch wenn der Beschwer- deführer sparsam leben, und – wenn möglich – Kost und Logis von Be- kannten in Anspruch genommen haben sollte, erscheint seine Darstellung in jeder Beziehung unglaubhaft. Dies gilt umso mehr, als er bei seiner An- haltung einen am 29. September 2021 für unbestimmte Zeit abgeschlos- senen Mietvertrag auf sich trug, aus dem hervorgeht, dass er im Kanton St. Gallen mit Wirkung ab dem 1. Oktober 2021 eine 3.5-Zimmer-Wohnung samt Parkplatz mietete. Der Mietzins betrug laut Mietvertrag 1'200 Fran- ken, zahlbar jeweils zu Beginn des laufenden Monats, erstmals am 1. Ok- tober 2021 (SG-act. 935 ff.).</w:t>
      </w:r>
    </w:p>
    <w:p>
      <w:r>
        <w:rPr>
          <w:b/>
        </w:rPr>
        <w:t>E. 5.4</w:t>
      </w:r>
    </w:p>
    <w:p>
      <w:r>
        <w:t>Zusammenfassend ist festzuhalten, dass der Beschwerdeführer durch Ausübung einer Erwerbstätigkeit ohne Bewilligung den Fernhaltegrund des Verstosses gegen die öffentliche Sicherheit und Ordnung im Sinne von Art. 67 Abs. 2 aBst. a erster Halbsatz AIG gesetzt hat. In Anbetracht der Tatsache, dass er in der Vergangenheit wiederholt strafrechtlich in Erschei- nung getreten ist – was den Verlust seiner Niederlassungsbewilligung und ein erstes Einreiseverbot zur Folge hatte – muss davon ausgegangen wer- den, dass von ihm auch eine Gefahr weiterer Störungen der Rechtsord- nung ausgeht. Somit ist auch der Fernhaltegrund einer Gefährdung der öf- fentlichen Sicherheit und Ordnung nach Art. 67 Abs. 2 aBst. a zweiter Halb- satz AIG erfüllt.</w:t>
      </w:r>
    </w:p>
    <w:p>
      <w:r>
        <w:rPr>
          <w:b/>
        </w:rPr>
        <w:t>E. 6.1</w:t>
      </w:r>
    </w:p>
    <w:p>
      <w:r>
        <w:t>Der Bestand und die Dauer des Einreiseverbots sind unter dem Blick- winkel des Grundsatzes der Verhältnismässigkeit zu überprüfen. Aus- gangspunkt der Überlegungen bilden die Stellung der verletzten oder ge- fährdeten Rechtsgüter, die Besonderheiten des ordnungswidrigen Verhal- tens und die persönlichen Verhältnisse der betroffenen ausländischen Per- son (vgl. Art. 67 Abs. 5 sowie Art. 96 Abs. 1 AIG; HÄFELIN/MÜLLER/UHL- MANN, Allgemeines Verwaltungsrecht, 8. Aufl. 2020, Rz. 555 ff.).</w:t>
      </w:r>
    </w:p>
    <w:p>
      <w:r>
        <w:rPr>
          <w:b/>
        </w:rPr>
        <w:t>E. 6.2</w:t>
      </w:r>
    </w:p>
    <w:p>
      <w:r>
        <w:t>Die vom Beschwerdeführer zu verantwortende Störung der öffentlichen Sicherheit und Ordnung und die von ihm ausgehende Gefahr weiterer</w:t>
      </w:r>
    </w:p>
    <w:p>
      <w:r>
        <w:t>F-5016/2021 Seite 10 Störungen begründen ein relevantes öffentliches Interesse an seiner Fern- haltung. Erhebliche private Interessen an von einem Einreiseverbot nicht behinderten Einreisen in die Schweiz sind nicht ersichtlich und werden auch nicht geltend gemacht. Dies gilt namentlich auch im Hinblick auf die erwachsenen Töchter des Beschwerdeführers, soweit diese überhaupt noch in der Schweiz leben.</w:t>
      </w:r>
    </w:p>
    <w:p>
      <w:r>
        <w:rPr>
          <w:b/>
        </w:rPr>
        <w:t>E. 6.3</w:t>
      </w:r>
    </w:p>
    <w:p>
      <w:r>
        <w:t>Das Bundesverwaltungsgericht gelangt daher im Rahmen einer Inte- ressenabwägung zum Ergebnis, dass das von der Vorinstanz gegen den Beschwerdeführer verhängte, auf drei Jahre bemessene Einreiseverbot eine verhältnismässige und angemessene Massnahme zum Schutz der öf- fentlichen Sicherheit und Ordnung darstellt.</w:t>
      </w:r>
    </w:p>
    <w:p>
      <w:r>
        <w:rPr>
          <w:b/>
        </w:rPr>
        <w:t>E. 7</w:t>
      </w:r>
    </w:p>
    <w:p>
      <w:r>
        <w:t>Die Ausschreibung des Beschwerdeführers im SIS II zur Einreise- und Auf- enthaltsverweigerung ist nicht zu beanstanden. Sie steht in Übereinstim- mung mit Art. 21 und Art. 24 Ziff. 3 der (hier noch anwendbaren) Verord- nung [EG] Nr. 1987/2006 des Europäischen Parlaments und des Rates vom 20. Dezember 2006 über die Einrichtung, den Betrieb und die Nutzung des Schengener Informationssystems der zweiten Generation (SIS-II-VO, Abl. L 381/4 vom 28.12.2006) (per 7. März 2023 abgelöst durch die Ver- ordnung [EU] 2018/1861 des Europäischen Parlaments und des Rates vom 28. November 2018 über die Einrichtung, den Betrieb und die Nutzung des Schengener Informationssystems [SIS] im Bereich der Grenzkontrol- len, zur Änderung des Übereinkommens zur Durchführung des Überein- kommens von Schengen und zur Änderung und Aufhebung der Verord- nung [EG] Nr. 1987/2006 [SIS-VO-Grenze, ABl. L 312/14 vom 7.12.2018]) und ist zu bestätigen.</w:t>
      </w:r>
    </w:p>
    <w:p>
      <w:r>
        <w:rPr>
          <w:b/>
        </w:rPr>
        <w:t>E. 8</w:t>
      </w:r>
    </w:p>
    <w:p>
      <w:r>
        <w:t>Entsprechend dem Ausgang des Verfahrens sind die Verfahrenskosten dem Beschwerdeführer aufzuerlegen (Art. 63 Abs. 1 VwVG). Deren Höhe ist in Anwendung von Art. 1 ff. des Reglements vom 21. Februar 2008 über die Kosten und Entschädigungen vor dem Bundesverwaltungsgericht (VGKE, SR 173.320.2) auf Fr. 1’200.– festzusetzen. Eine Parteientschädi- gung steht dem Beschwerdeführer ausgangsgemäss nicht zu (Art. 64 Abs. 1 VwVG).</w:t>
      </w:r>
    </w:p>
    <w:p>
      <w:r>
        <w:rPr>
          <w:b/>
        </w:rPr>
        <w:t>E. 9</w:t>
      </w:r>
    </w:p>
    <w:p>
      <w:r>
        <w:t>Das vorliegende Urteil ist endgültig (vgl. Art. 83 Bst. c Ziff. 1 BGG).</w:t>
      </w:r>
    </w:p>
    <w:p>
      <w:r>
        <w:t>F-5016/2021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