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F-5007/2017 vom 21. November 2018</w:t>
      </w:r>
    </w:p>
    <w:p>
      <w:r>
        <w:t>Bundesverwaltungsgericht, 2018-11-21, FR</w:t>
      </w:r>
    </w:p>
    <w:p>
      <w:r>
        <w:rPr>
          <w:b/>
        </w:rPr>
        <w:t xml:space="preserve">Quelle: </w:t>
      </w:r>
      <w:r>
        <w:t>https://mcp.opencaselaw.ch/entscheid/bvger_F-5007_2017</w:t>
      </w:r>
    </w:p>
    <w:p>
      <w:r>
        <w:t>FR: TAF F-5007/2017 du 21 novembre 2018</w:t>
      </w:r>
    </w:p>
    <w:p>
      <w:r>
        <w:t>IT: TAF F-5007/2017 del 21 novembre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ATF 134 V 418 consid. 5.2.1 et références citées ; voir également ATAF 2010/5 consid. 2 et doctrine et jurisprudence citées). Il s'ensuit que l'objet du présent litige est limité à la question de l'interdiction d'entrée en Suisse. Partant, même en cas de levée de cette mesure d'éloignement, les prescriptions ordinaires en matière de droit des étrangers (soit notamment l'obligation de visa, d'autorisation de séjour et d'autorisation de travail) demeurent opposables à l'étranger concerné et échappent ainsi à la compétence du Tribunal dans le cadre de l'examen de la présente affaire. Dans ces conditions, la conclusion implicite du recourant tendant à ce qu'il soit autorisé à séjourner en Suisse en raison de ses attaches avec ce pays est irrecevable.</w:t>
      </w:r>
    </w:p>
    <w:p>
      <w:r>
        <w:rPr>
          <w:b/>
        </w:rPr>
        <w:t>E. 4.1</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Par ailleurs, selon l'art. 67 al. 1 LEtr, le SEM interdit l'entrée en Suisse à un étranger frappé d'une décision de renvoi lorsque le renvoi est immédiatement exécutoire en vertu de l'art. 64d, al. 2, let. a à c (let. a) ou que l'étranger n'a pas quitté la Suisse dans le délai imparti (let. b).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 dans sa teneur en vigueur depuis le 1er octobre 2016). 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4.2</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tels le recourant (ATAF 2017 VII/2 consid. 4.4 et les références citées).</w:t>
      </w:r>
    </w:p>
    <w:p>
      <w:r>
        <w:rPr>
          <w:b/>
        </w:rPr>
        <w:t>E. 4.3</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 ATAF 2017 VII/2 consid. 4.5 et la réf. cit.).</w:t>
      </w:r>
    </w:p>
    <w:p>
      <w:r>
        <w:rPr>
          <w:b/>
        </w:rPr>
        <w:t>E. 5</w:t>
      </w:r>
    </w:p>
    <w:p>
      <w:r>
        <w:t>En l'occurrence, l'autorité inférieure a prononcé, le 24 mai 2017, une décision d'interdiction d'entrée en Suisse d'une durée de sept ans à l'encontre du recourant. Elle a considéré qu'une telle mesure d'éloignement s'imposait en raison du nombre et de la gravité des infractions commises par ce dernier durant sa présence sur le territoire helvétique et de la mise en danger de la sécurité et de l'ordre publics qui en découlait.</w:t>
      </w:r>
    </w:p>
    <w:p>
      <w:r>
        <w:rPr>
          <w:b/>
        </w:rPr>
        <w:t>E. 6.1</w:t>
      </w:r>
    </w:p>
    <w:p>
      <w:r>
        <w:t>L'intéressé a commis plusieurs infractions pour lesquelles il a été condamné en tout à 130 jours de peine privative de liberté, 100 jours-amende et à des amendes d'un montant total de Fr. 870.- (cf. supra let. B et D). - Ainsi, le 1er février 2013, il a été condamné pour avoir déclaré à un fonctionnaire, en date du 7 juin 2012, qu'il allait lui « péter la gueule » et ayant saisi sa cravate, avant de tirer violemment dessus. La victime a également reçu un coup de poing dans le ventre de la part du recourant qui lui a répété « je vais te péter la gueule et te tuer ». Finalement l'intéressé a signé le formulaire avant de lancer son stylo au visage du contrôleur (cf. arrêt du 27 août 2013) ; - le 31 août 2015, il a été condamné pour avoir séjourné illégalement et avoir travaillé sans autorisation entre la fin de l'année 2014 et le mois d'août 2015 ; il a également été condamné pour avoir dérobé le 28 juin 2015 un sac de voyage contenant un jean, un parfum, un chargeur de téléphone, des clés et divers papiers, pour avoir dérobé le 1er juillet 2015, un téléphone portable, pour avoir fumé depuis le 28 février 2015 en moyenne 5 joints de marijuana par semaine, ladite ordonnance a finalement mis en évidence le fait qu'il ne s'était pas arrêté en date du 30 août 2015 malgré les injonctions de policiers, qu'il avait tenté de s'emparer du matériel d'équipement d'un des policiers et qu'il avait essayé de donner des coups de tête et d'épaule aux policiers (pce SEM p. 4 ss) ; - le 9 octobre 2015, il a été condamné pour avoir mis un coup de poing, en date du 2 janvier 2015, dans la porte du véhicule de son ancienne compagne, ce qui a endommagé le cadre (cf. rapports des 2 février 2015 et 24 février 2016 et PV d'audition du 31 août 2015) ; - le 21 mars 2016, il a été condamné pour être entré sans droit, entre le 29 décembre 2014 et le 1er janvier 2015 dans la chambre d'étudiant de son ex-amie après avoir forcé la porte avec un outil plat et y avoir soustrait un disque dur externe et pour être entré sans droit, le 2 janvier 2015, dans la chambre d'étudiant de son ex-amie après avoir enfoncé la porte, endommageant la gâche et le cadre de cette dernière (cf. pce SEM p. 25 ss) ; - il a également été condamné en date du 31 mai 2016 pour ne pas avoir régularisé sa situation auprès du contrôle des habitants dans les délais prescrits (cf. supra let. D).</w:t>
      </w:r>
    </w:p>
    <w:p>
      <w:r>
        <w:rPr>
          <w:b/>
        </w:rPr>
        <w:t>E. 6.2</w:t>
      </w:r>
    </w:p>
    <w:p>
      <w:r>
        <w:t>En sus de ces diverses infractions, il y a également lieu de relever que l'intéressé n'a volontairement pas donné suite aux injonctions qui lui avaient été données par les autorités des migrations. Aussi, par décision du 30 mai 2016, le SPOP a prononcé le renvoi de A._______ de Suisse. Par courrier du 10 juin 2016, le prénommé a sollicité le réexamen de la décision précitée et requis d'être mis au bénéfice d'une admission provisoire. Par décision du 4 juillet 2016, le SPOP a déclaré irrecevable la demande de réexamen, subsidiairement l'a rejetée. Il a en outre refusé de proposer au SEM son admission provisoire. Par arrêt du 31 août 2016, la CDAP a rejeté le recours dans la mesure où il était recevable et a confirmé la décision du SPOP du 4 juillet 2016. L'intéressé n'a cependant pas donné suite à la décision de renvoi le concernant.</w:t>
      </w:r>
    </w:p>
    <w:p>
      <w:r>
        <w:rPr>
          <w:b/>
        </w:rPr>
        <w:t>E. 6.3</w:t>
      </w:r>
    </w:p>
    <w:p>
      <w:r>
        <w:t>A ce stade, il s'impose donc de retenir que le recourant, par son comportement délictueux adopté à réitérées reprises, a indiscutablement attenté à la sécurité et à l'ordre publics en Suisse, de sorte qu'il remplit les conditions d'application de l'art. 67 al. 2 let. a LEtr. Par ailleurs, il n'a pas donné suite à une décision de renvoi exécutoire, ce qui a pour conséquence qu'une mesure d'éloignement est également indiquée sous l'angle de l'art. 67 al. 1 LEtr. Finalement, le comportement récidiviste affiché par l'intéressé sur plusieurs années ne permet pas de poser un pronostic favorable dans la présente affaire. En conséquence, la mesure d'interdiction d'entrée prononcée le 24 mai 2017 est justifiée dans son principe.</w:t>
      </w:r>
    </w:p>
    <w:p>
      <w:r>
        <w:rPr>
          <w:b/>
        </w:rPr>
        <w:t>E. 7</w:t>
      </w:r>
    </w:p>
    <w:p>
      <w:r>
        <w:t>Il convient encore de déterminer si la menace que représente le recourant pour la sécurité et l'ordre publics en Suisse doit être qualifiée de grave et est ainsi susceptible de justifier le prononcé d'une mesure d'éloignement allant au-delà de la durée maximale de cinq ans prévue à l'art. 67 al. 3 1ère phrase LEtr.</w:t>
      </w:r>
    </w:p>
    <w:p>
      <w:r>
        <w:rPr>
          <w:b/>
        </w:rPr>
        <w:t>E. 7.1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(cf. à ce sujet arrêts du TAF F-3243/2016 du 8 mars 2018 consid. 6 ; F-3676/2016 du 3 juillet 2018 consid. 5 ; F-1279/2017 du 6 juillet 2018 consid. 7 ; F-7605/2016 du 26 octobre 2018 consid. 4).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w:t>
      </w:r>
    </w:p>
    <w:p>
      <w:r>
        <w:rPr>
          <w:b/>
        </w:rPr>
        <w:t>E. 7.2</w:t>
      </w:r>
    </w:p>
    <w:p>
      <w:r>
        <w:t>En l'occurrence, les délits commis par le recourant relèvent manifestement de la petite délinquance et ne sauraient justifier, pris chacun pour soi, le prononcé d'une mesure d'éloignement allant au-delà de la durée maximale de cinq ans prévue à l'art. 67 al. 3 1ère phrase LEtr. A cela s'ajoute que les infractions perpétrées ne laissent pas apparaître, du point de vue chronologique, une quelconque aggravation et ne dénotent pas de comportement qui se démarquerait par une attitude ou un mode opératoire particulièrement odieux ou propre à la criminalité organisée. Il y a néanmoins lieu de relever l'absence apparente de toute maîtrise de son agressivité par le recourant, que ce soit vis-à-vis de personnes privées (son ex-amie) ou de fonctionnaires. Dans ce contexte, il se pose la question de savoir si la multiplication des infractions sur plusieurs années liée à un pronostic défavorable permet tout de même de retenir la présence d'une menace caractérisée in casu. Pour ce faire, il convient d'apprécier l'ensemble des éléments inhérents au dossier en tenant notamment compte de la nature des infractions en cause. Ce faisant, on retiendra à titre liminaire que si l'intéressé a fait l'objet d'une instruction policière pour déterminer s'il était l'auteur de nouvelles infractions en février 2017 (nature de l'affaire : voies de fait, menaces, violation de domicile et utilisation abusive d'une installation de communication [cf. pce SEM p. 22]), rien au dossier n'incite à penser que les faits incriminés aient été suffisamment établis et qu'une condamnation pénale ait été prononcée à ce jour. Cette circonstance ne saurait donc être déterminante en l'espèce. En rapport avec les diverses infractions ayant donné lieu à des condamnations (cf. supra let. b et consid. 6.1), il y a lieu de retenir ce qui suit. Le fait que le recourant se soit physiquement et verbalement pris à un employé CFF le 7 juin 2012 et qu'il ait tenté de frapper un policier lors de son arrestation fin août 2015 représentent des actes de violence choquants qui plaident en sa défaveur. Il convient toutefois de tenir compte du fait que celui-ci n'a été condamné que pour voies de fait (cf. art. 285 CP), ce qui permet de relativiser quelque peu leur gravité. En ce qui concerne les autres condamnations, on relèvera que les infractions contre le patrimoine portent sur des montants peu élevés, que la condamnation dont le recourant a fait l'objet en lien avec la LStup concernait exclusivement une contravention au sens de l'art. 19a ch. 1 LStup et que les infractions liées à la LEtr ont été influencées par sa situation familiale chaotique, alors qu'il n'avait pas encore atteint l'âge de 25 ans (cf. supra let. A). Ainsi, sans minimiser les actes nombreux qui ont été commis, le Tribunal est d'avis que ceux-ci, même pris dans leur ensemble, ne suffisent pas à retenir que le recourant représente une menace caractérisée pour la sécurité et l'ordre publics suisses susceptible de justifier le prononcé d'une mesure d'éloignement allant au-delà de la durée maximale de cinq ans, ce qui est en accord avec la pratique rendue dans des cas similaires (cf. la jurisprudence du TAF citée au consid. 7.1). A ce titre, il sied toutefois de souligner que le cas du recourant, dont l'attitude révèle - sur plusieurs années - une indifférence crasse vis-à-vis de l'ordre public suisse, ainsi qu'un manque patent de maîtrise de son agressivité, doit être considéré comme limite, en ce sens qu'une infraction avérée supplémentaire eût probablement suffi pour retenir une menace grave justifiant une interdiction d'entrée supérieure à 5 ans.</w:t>
      </w:r>
    </w:p>
    <w:p>
      <w:r>
        <w:rPr>
          <w:b/>
        </w:rPr>
        <w:t>E. 8</w:t>
      </w:r>
    </w:p>
    <w:p>
      <w:r>
        <w:t>Il convient encore d'examiner si la mesure d'éloignement prise par l'autorité intimée satisfait aux principes de proportionnalité et de l'égalité de traitement.</w:t>
      </w:r>
    </w:p>
    <w:p>
      <w:r>
        <w:rPr>
          <w:b/>
        </w:rPr>
        <w:t>E. 8.1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143 I 403 consid. 5.6.3 et la jurisprudence citée, ainsi que l'arrêt du TAF F-5267/2015 du 18 août 2016 consid. 6.1).</w:t>
      </w:r>
    </w:p>
    <w:p>
      <w:r>
        <w:rPr>
          <w:b/>
        </w:rPr>
        <w:t>E. 8.2</w:t>
      </w:r>
    </w:p>
    <w:p>
      <w:r>
        <w:t>En l'espèce, s'agissant de l'intérêt public à l'éloignement du recourant de Suisse, le Tribunal observe que les motifs retenus à l'appui de la mesure d'éloignement prise à l'endroit de l'intéressé, soit les infractions à la LEtr et les autres infractions pénales, sont indéniables. Il convient également de tenir compte de l'ensemble des infractions commises, ainsi que du comportement général du recourant qui s'est évertué à ne pas se plier aux injonctions de quitter le territoire suisse (cf. supra let. E). En parallèle, les intérêts privés avancés par l'intéressé, soit en particulier la durée de son séjour en Suisse et ses attaches avec ce pays, ne sauraient être prépondérants dans le cadre de la présente procédure de recours. En effet, bien que ce dernier ait séjourné en Suisse entre janvier 2008 et juin 2013, ainsi qu'entre décembre 2014 et août 2018, soit près de 9 ans, son intégration ne peut être considérée comme réussie. En particulier, on observera qu'il n'a jamais achevé l'apprentissage qu'il avait débuté et qu'il a commis plusieurs infractions. En outre, aucun élément au dossier ne permet d'inférer que le recourant disposerait en Suisse d'attaches particulièrement étroites sur le plan familial, social ou économique (cf. notamment supra let. A et J, PV d'audition des 30 et 31 août 2015 et pce TAF 5). Par ailleurs, comme relevé plus haut (cf. supra consid. 3), on rappellera que l'objet du présent litige est limité à la question de l'interdiction d'entrée en Suisse et la conclusion implicite du recourant tendant à ce qu'il soit autorisé à séjourner en Suisse est irrecevable. Enfin, le Tribunal constate qu'il n'existe pas de raisons humanitaires ou d'autres motifs importants justifiant l'abstention ou la suspension de la mesure d'éloignement au sens de l'art. 67 al. 5 LEtr. Dans ces conditions, il ne saurait être question de baisser substantiellement la durée de la mesure d'éloignement compte tenu de l'absence d'intérêt privé suffisamment important qui parlerait en faveur de l'intéressé. Il y a dès lors lieu de fixer la mesure d'éloignement à cinq ans, soit la durée maximale prévue à l'art. 67 al. 3 1ère phrase LEtr. Celle-ci respecte le principe de proportionnalité et correspond à celle prononcée dans des cas similaires (cf. la jurisprudence du TAF citée au consid. 7.1).</w:t>
      </w:r>
    </w:p>
    <w:p>
      <w:r>
        <w:rPr>
          <w:b/>
        </w:rPr>
        <w:t>E. 9.1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9.2</w:t>
      </w:r>
    </w:p>
    <w:p>
      <w:r>
        <w:t>Dans la décision attaquée,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Le fait que certains membres de sa famille vivent en Belgique et en France, dont on ignore au demeurant les liens particuliers (qu'il eût le cas échéant appartenu à l'intéressé d'expliciter), n'est pas à même de modifier cette conclusion. On précisera que la durée de l'inscription au SIS sera adaptée à la durée réduite de l'interdiction d'entrée de 5 ans.</w:t>
      </w:r>
    </w:p>
    <w:p>
      <w:r>
        <w:rPr>
          <w:b/>
        </w:rPr>
        <w:t>E. 10</w:t>
      </w:r>
    </w:p>
    <w:p>
      <w:r>
        <w:t>Il s'ensuit que le recours doit être partiellement admis, dans la mesure de sa recevabilité, et la décision querellée du 24 mai 2017 réformée en ce sens que les effets de l'interdiction d'entrée sont limités au 23 mai 2022, en ce sens qu'ils expireront à l'issue d'un délai de cinq ans à partir de la prise d'effet de la décision attaquée.</w:t>
      </w:r>
    </w:p>
    <w:p>
      <w:r>
        <w:rPr>
          <w:b/>
        </w:rPr>
        <w:t>E. 11</w:t>
      </w:r>
    </w:p>
    <w:p>
      <w:r>
        <w:t>Dans la mesure où le recourant n'obtient que partiellement gain de cause, des frais de procédure réduits devraient être mis à sa charge (cf. art. 63 al. 1 2ème phrase PA en relation avec les art. 1 à 3 du règlement du 21 février 2008 concernant les frais, dépens et indemnités fixés par le Tribunal administratif fédéral [FITAF, RS 172.320.2]). Cela étant, par décision incidente du 19 octobre 2017, le Tribunal a admis la demande d'assistance judiciaire partielle du recourant et l'a dispensé du paiement des frais de procédure, de sorte qu'il n'y a pas lieu d'en percevoir.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