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F-5005/2019 vom 6. Mai 2020</w:t>
      </w:r>
    </w:p>
    <w:p>
      <w:r>
        <w:t>Bundesverwaltungsgericht, 2020-05-06, FR</w:t>
      </w:r>
    </w:p>
    <w:p>
      <w:r>
        <w:rPr>
          <w:b/>
        </w:rPr>
        <w:t xml:space="preserve">Quelle: </w:t>
      </w:r>
      <w:r>
        <w:t>https://mcp.opencaselaw.ch/entscheid/bvger_F-5005_2019</w:t>
      </w:r>
    </w:p>
    <w:p>
      <w:r>
        <w:t>FR: TAF F-5005/2019 du 6 mai 2020</w:t>
      </w:r>
    </w:p>
    <w:p>
      <w:r>
        <w:t>IT: TAF F-5005/2019 del 6 maggio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ayant pris part à la procédure devant l'autorité inférieure, ont la qualité pour recourir (art. 48 al. 1 PA). Présenté par ailleurs dans la forme et les délais prescrits par la loi, le recours dirigé contre la décision du SEM du 29 août 2019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3.3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3.4</w:t>
      </w:r>
    </w:p>
    <w:p>
      <w:r>
        <w:t>Le Règlement (CE) 539/2001 du Conseil du 15 mars 2001 (JO L 81 du 21 mars 2001, p. 1-7) - remplacé par le Règlement (UE) 2018/1806 du Parlement européen et du Conseil du 14 novembre 2018 (JO L 303 du 28 novembre 2018, p. 39-58), et qui ne se différencie pas de sa version antérieure sur ce point - différencie, en son art. 1 par. 1 et 2, les ressortissants des Etats tiers selon qu'ils sont soumis ou non à l'obligation du visa. En tant que ressortissant algérien, le recourant est soumis à l'obligation de visa (cf. annexe I du règlement [CE] 539/2001).</w:t>
      </w:r>
    </w:p>
    <w:p>
      <w:r>
        <w:rPr>
          <w:b/>
        </w:rPr>
        <w:t>E. 4</w:t>
      </w:r>
    </w:p>
    <w:p>
      <w:r>
        <w:t>Par décision du 29 août 2019, l'autorité intimée a rejeté l'opposition et a confirmé le refus d'autorisation d'entrée dans l'Espace Schengen de l'invité. Elle a en effet considéré que son retour en Algérie, au terme du séjour sollicité, n'apparaissait pas suffisamment garanti, compte tenu de sa situation personnelle (jeune, célibataire, n'ayant jamais voyagé dans l'espace Schengen, ni été en mesure de prouver qu'il disposait de moyens financiers propres suffisants), de la situation socio-économique prévalant en Algérie et de l'insuffisance d'attaches démontrés avec son pays d'origine. Aux yeux du SEM, il ne saurait être exclu que l'intéressé souhaite prolonger sa présence une fois arrivé dans l'Espace Schengen, dans l'espoir de trouver des conditions d'existence meilleures que celles qu'il connaît dans son pays de résidence. A l'appui de leur recours, les invitants ont indiqué que C._______ et B._______ avaient grandi ensemble en Algérie et étaient quotidiennement en contact. L'invité disposait d'une situation professionnelle stable dans son pays et souhaitait uniquement rendre visite à son ami d'enfance. Tous les documents exigés par les autorités avaient été fournis et les recourants s'étaient engagés sur l'honneur à ce que leur ami retourne en Algérie à la fin de son séjour. Ils avaient également garanti la prise en charge totale de son voyage. Ainsi, ils sollicitaient l'octroi d'un visa en faveur de leur invité.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5.2</w:t>
      </w:r>
    </w:p>
    <w:p>
      <w:r>
        <w:t>Compte tenu de la qualité de vie et des conditions économiques et sociales particulières que connaît la population algérienne, on ne saurait de prime abord écarter les craintes de l'autorité inférieure de voir l'intéressé prolonger son séjour en Suisse au-delà de la date d'échéance du visa sollicité. Avec un produit intérieur brut (PIB) par habitant de 4'114,7 USD en 2018, l'Algérie demeure très en dessous des standards européens. Selon les valeurs de 2019, l'indice de développement humain (IDH), qui prend en compte la santé, l'éducation et le revenu des personnes, la classe en 82e position sur 189 Etats (sources : site internet de la Banque mondiale &lt;https://donnees.banquemondiale.org/indicator/NY.GDP.PCAP.CD?loca-tiolo=DZ&amp;view=chart&gt;, site consulté en avril 2020 ; rapport Indices et indicateurs de développement humain 2019 du Programme des Nations Unies pour le développement - PNUD http://hdr.undp.org/sites/default/ files/hdr_2019_fr.pdf , site consulté en avril 2020). Il sied également de relever que les autorités helvétiques sont régulièrement saisies de demandes d'asile émanant de ressortissants algériens, l'Algérie figurant au 5ème rang des pays de provenance des requérants d'asile en Suisse (cf. Commentaires sur les statistiques en matière d'asile du 13 août 2019, en ligne sur le site du SEM : www. sem.admin.ch &gt; Publications &amp; service &gt; Statistiques en matière d'asile, site consulté en avril 2020 ; voir également arrêts du TAF F-365/2018 du 20 mai 2019 consid. 7.2 et F-1022/2019 du 14 février 2020 consid. 8.2). Dès lors, les conditions socio-économiques prévalant en Algérie ne sont pas sans exercer une pression migratoire importante sur la population, en particulier s'agissant des personnes jeunes et sans attaches particulières. Cette tendance migratoire est encore renforcée, comme l'expérience l'a démontré, lorsque la personne concernée peut s'appuyer à l'étranger sur un réseau social (parents, amis) préexistant (arrêt du TAF F-5295/2018 du 6 août 2019 consid. 7.4). Compte tenu de la situation générale en Algérie et des nombreux avantages qu'offrent la Suisse et d'autres pays membres de l'Espace Schengen (en termes de niveau et de qualité de vie, d'emploi, de sécurité, d'infrastructures scolaires et socio-médicales, etc.), le Tribunal ne saurait partant faire abstraction du risque d'une éventuelle prolongation par l'intéressé de son séjour sur le territoire helvétique au-delà de la durée de validité de son visa (arrêt du TAF F-5701/2018 du 9 octobre 2018 consid. 8.3 et jurisprudence citée).</w:t>
      </w:r>
    </w:p>
    <w:p>
      <w:r>
        <w:rPr>
          <w:b/>
        </w:rPr>
        <w:t>E. 5.3</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5.4</w:t>
      </w:r>
    </w:p>
    <w:p>
      <w:r>
        <w:t>Il convient dès lors d'examiner si la situation personnelle, familiale et professionnelle (respectivement patrimoniale) du requérant plaide en faveur de sa sortie ponctuelle de Suisse (respectivement de l'Espace Schengen) au terme du séjour envisagé. En l'occurrence, l'invité est âgé de 37 ans, période de la vie pendant laquelle il est aisément envisageable de reconstruire sa vie à l'étranger, d'autant plus sans attache familiale. En effet, C._______ ne dispose pas de famille nucléaire dans son pays d'origine (tel qu'une épouse ou des descendants directs), impliquant notamment un lien de dépendance, qui l'obligerait à retourner immédiatement dans son pays à la fin du séjour envisagé. En ce qui concerne sa situation professionnelle et financière, il est employé par la commune de D._______ en qualité d'agent de nettoiement et d'assainissement depuis 2011 pour un salaire net de 20'224.61 dinars algériens, équivalant à environ 159 francs (1 dinar algérien équivalent à 0.01 franc suisse ; cf. site de PostFinance : &lt;https://www.postfinance.ch/fr/particuliers/assistance/outils-calculateurs/calculateur-monnaie.html , consulté le 29 avril 2020). Certes, il convient de relever que l'invité dispose d'un emploi stable. Cependant, il ne ressort pas du dossier qu'il ait des responsabilités particulières dans l'entreprise qui l'emploie et bénéficie d'un salaire qui l'inciterait à quitter la Suisse au moment venu. Bien au contraire, il y a lieu de constater que ses revenus sont très modestes et nettement en dessous des revenus suisses. Au demeurant, le montant de 1'410 euros déposé sur son compte bancaire n'est pas suffisamment élevé pour retenir qu'il s'agirait d'une garantie de son départ. Quoi qu'il en soi, rien ne prouve que cette somme provienne de ses propres économies. Le niveau de vie de l'invité ne permet dès lors pas d'écarter le risque d'une prolongation de son séjour sur le territoire helvétique à l'échéance de son visa. S'agissant des assurances données par les recourants quant au départ ponctuel de l'intéressé à l'issue de son séjour, il y a lieu de rappeler qu'elles ne peuvent être tenues pour décisives, dans la mesure où elles n'engagent pas l'invité lui-même - celui-ci conservant seul la maîtrise de son comportement - et ne permettent nullement d'exclure l'éventualité que l'intéressé, une fois en Suisse, tente d'y poursuivre durablement son existence (cf. ATAF 2009/27 consid. 9 et notamment arrêt du TAF F-4176/2017 du 1er mars 2018 consid. 6). Enfin, force est de constater que l'intérêt privé de l'invité à rendre visite à son ami en Suisse doit être relativisé. En effet, d'une part, ce dernier ne fait pas partie de son noyau familial proche, d'autre part, rien ne les empêche de maintenir des relations dans la mesure où ils peuvent se rencontrer hors de la Suisse.</w:t>
      </w:r>
    </w:p>
    <w:p>
      <w:r>
        <w:rPr>
          <w:b/>
        </w:rPr>
        <w:t>E. 5.5</w:t>
      </w:r>
    </w:p>
    <w:p>
      <w:r>
        <w:t>Au vu de ce qui précède, le Tribunal considère que le retour de l'invité dans sa patrie au terme de l'autorisation requise n'est pas suffisamment assuré et que c'est donc de manière fondée que l'autorité inférieure a écarté l'opposition en cause et confirmé le refus de lui octroyer une autorisation d'entrée dans l'Espace Schengen.</w:t>
      </w:r>
    </w:p>
    <w:p>
      <w:r>
        <w:rPr>
          <w:b/>
        </w:rPr>
        <w:t>E. 6</w:t>
      </w:r>
    </w:p>
    <w:p>
      <w:r>
        <w:t>Au demeurant, le Tribunal constate que le dossier ne laisse pas apparaître de motifs susceptibles de justifier la délivrance en faveur de l'invité d'un visa à validité territoriale limitée (cf. consid. 3.3 supra).</w:t>
      </w:r>
    </w:p>
    <w:p>
      <w:r>
        <w:rPr>
          <w:b/>
        </w:rPr>
        <w:t>E. 7</w:t>
      </w:r>
    </w:p>
    <w:p>
      <w:r>
        <w:t>Il s'ensuit que, par sa décision du 29 août 2019, l'autorité intimée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Les recourants n'ont par ailleurs pas droit à des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