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F-4981/2016 vom 19. April 2018</w:t>
      </w:r>
    </w:p>
    <w:p>
      <w:r>
        <w:t>Bundesverwaltungsgericht, 2018-04-19, FR</w:t>
      </w:r>
    </w:p>
    <w:p>
      <w:r>
        <w:rPr>
          <w:b/>
        </w:rPr>
        <w:t xml:space="preserve">Quelle: </w:t>
      </w:r>
      <w:r>
        <w:t>https://mcp.opencaselaw.ch/entscheid/bvger_F-4981_2016</w:t>
      </w:r>
    </w:p>
    <w:p>
      <w:r>
        <w:t>FR: TAF F-4981/2016 du 19 avril 2018</w:t>
      </w:r>
    </w:p>
    <w:p>
      <w:r>
        <w:t>IT: TAF F-4981/2016 del 19 aprile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Quant à C._______, le partenaire de cette dernière, il n'est pas considéré comme recourant dans le cadre de la présente procédure. En effet, ce dernier n'a pas le statut de personne invitante (cf. formulaire de demande de visa Schengen contenu dans le dossier SYMIC) et le Tribunal a, tout au long de la procédure, adressé ses courriers à A._______ en tant qu'unique recourante, sans que ceci ne soit contesté par les intéressés. Présenté par ailleurs dans la forme et les délais prescrits par la loi, le recours dirigé contre la décision du SEM du 19 juillet 2016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5 avril 2017, entrée en vigueur le 1er mai 2017 et qui ne se distingue pas matériellement de sa version antérieure,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4.3</w:t>
      </w:r>
    </w:p>
    <w:p>
      <w:r>
        <w:t>Le Règlement (CE) 539/2001 du Conseil du 15 mars 2001 (JO L 81 du 21 mars 2001, p. 1-7) différencie, en son art. 1 par. 1 et 2, les ressortissants des Etats tiers selon qu'ils sont soumis ou non à l'obligation du visa. En tant que ressortissante camerounaise, l'invitée est soumise à l'obligation du visa.</w:t>
      </w:r>
    </w:p>
    <w:p>
      <w:r>
        <w:rPr>
          <w:b/>
        </w:rPr>
        <w:t>E. 5</w:t>
      </w:r>
    </w:p>
    <w:p>
      <w:r>
        <w:t>Quant au fond, l'autorité inférieure a confirmé le refus d'autorisation d'entrée dans l'Espace Schengen prononcé par l'Ambassade de Suisse à Yaoundé à l'encontre de B._______. Elle a en effet considéré que le départ ponctuel de cette dernière de l'Espace Schengen, avant l'expiration du visa sollicité, n'apparaissait pas suffisamment garanti, compte tenu de sa situation personnelle (jeune et célibataire). A ce titre, elle a également relevé que la probabilité d'une immigration était d'autant plus grande que l'intéressée pouvait compter sur la présence de sa mère en Suisse et considéré que le fait qu'elle soit étudiante dans son pays d'origine ne modifiait pas cette appréciation. A l'appui de son recours, la recourante a notamment invoqué le fait que sa fille vivait dans une maison familiale avec son frère et sa soeur et que tout son entourage social se trouvait au Cameroun. Elle a également relevé le fait que sa fille était inscrite à une école privée et que cette école était liée à des frais considérables. Il n'était donc pas question que sa fille abandonne cette formation, raison pour laquelle sa visite devait avoir lieu pendant les vacances scolaires. Elle a également souligné que son partenaire et elle avaient donné toutes les garanties possibles pour assurer que sa fille quitte la Suisse à l'issue de son séjour. Selon elle, le refus d'octroi d'un visa à sa fille était arbitraire et signifierait que l'on refuse le droit de visite à une grande majorité des jeunes encore en formation. Le fait qu'une demande de regroupement familial ait été déposée et rejetée par les autorités ne devait pas non plus avoir, selon elle, d'incidence sur la présente requête de visa. Dans sa réplique du 18 novembre 2016, la recourante a exprimé son incompréhension quant aux motifs retenus par l'autorité inférieure pour justifier sa décision et réitéré les arguments invoqués à l'appui de son recours.</w:t>
      </w:r>
    </w:p>
    <w:p>
      <w:r>
        <w:rPr>
          <w:b/>
        </w:rPr>
        <w:t>E. 6.1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w:t>
      </w:r>
    </w:p>
    <w:p>
      <w:r>
        <w:rPr>
          <w:b/>
        </w:rPr>
        <w:t>E. 6.2</w:t>
      </w:r>
    </w:p>
    <w:p>
      <w:r>
        <w:t>Au regard de la situation socio-économique prévalant au Cameroun, on ne saurait de prime abord écarter les craintes de l'autorité inférieure de voir la fille de la recourante prolonger son séjour en Suisse au-delà de la date d'échéance du visa sollicité. A ce propos, il faut prendre en considération la qualité de vie et les conditions économiques particulières que connaît l'ensemble de la population au Cameroun. Avec un produit intérieur brut (PIB) par habitant de 1'250 USD en 2015, cet Etat demeure très en dessous des standards européens. Pour l'année 2016, l'indice de développement humain (IDH), qui prend en compte la santé, l'éducation et le revenu des personnes, le classe en 153e position sur 188 Etats (source : le site internet du Ministère français des affaires étrangères, à l'adresse http://www.diplomatie.gouv.fr/fr/dossiers-pays/cameroun/presentation-du-cameroun/, mis à jour le 14 mars 2018, consulté en avril 2018). Dès lors, les conditions socio-économiques difficiles au Cameroun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la recourante résidant en Suisse (cf. notamment arrêt du TAF F-6712/2016 du 25 octobre 2017 consid. 5.3). Compte tenu de la situation générale prévalant au Cameroun et aux nombreux avantages qu'offrent la Suisse (en termes de niveau et de qualité de vie, d'emploi, de sécurité, d'infrastructures scolaires et socio-médicales, etc.), le Tribunal ne saurait de prime abord faire abstraction du risque d'une éventuelle prolongation par la fille de la recourante de son séjour sur le territoire helvétique au-delà de la durée de validité de son visa (dans le même sens, cf. arrêt du TAF F-6712/2016 ibid. et réf. cit.).</w:t>
      </w:r>
    </w:p>
    <w:p>
      <w:r>
        <w:rPr>
          <w:b/>
        </w:rPr>
        <w:t>E. 7.1</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ibid.). Il convient dès lors d'examiner si, en l'état, la situation personnelle, familiale et sociale de l'intéressée plaide en faveur d'un retour ponctuel de sa part dans son pays d'origine.</w:t>
      </w:r>
    </w:p>
    <w:p>
      <w:r>
        <w:rPr>
          <w:b/>
        </w:rPr>
        <w:t>E. 7.2</w:t>
      </w:r>
    </w:p>
    <w:p>
      <w:r>
        <w:t>En l'occurrence, il ressort du dossier et des informations données par la recourante que l'intéressée est jeune, célibataire et étudiante. Elle vit par ailleurs dans une maison familiale avec son frère et sa soeur. Contrairement à ce qu'affirme la recourante, le fait que sa fille fasse ses études dans le cadre d'une école privée, dont les coûts seraient, selon ses dires, « considérables », ne permet pas encore de garantir que l'intéressée quittera la Suisse au terme de son séjour. Sans vouloir remettre en cause la bonne foi de la recourante, on pourrait en effet imaginer qu'il soit financièrement plus intéressant pour elle que sa fille continue ses études en Suisse dans un établissement public. Le fait que le frère et la soeur de l'intéressée résident dans la même maison qu'elle au Cameroun et qu'elle y ait également des amis n'est pas non plus une garantie suffisante. Rien au dossier ne permet de penser que l'intéressée ait une responsabilité particulière vis-à-vis des membres de sa famille résidant au Cameroun, l'obligeant à y retourner. Comme déjà mentionné ci-dessus (consid. 6.2 supra), le fait que la recourante vive en Suisse est, au contraire, un facteur pouvant influencer le choix de l'invitée de prolonger son séjour sur le territoire helvétique auprès de sa mère. S'agissant des garanties données par la recourante et son partenaire notamment quant au départ ponctuel de l'intéressée à l'issue de son séjour, il y a lieu de rappeler qu'elles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(cf. notamment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Le Tribunal constate enfin que l'intéressée avait, en date du 23 décembre 2013, requis l'octroi d'un visa de long séjour (visa D) pour un regroupement familial avec la recourante, ce qui démontre, à tout le moins, qu'elle avait songé à s'expatrier en Suisse et augmente le risque de non-retour à l'expiration du visa sollicité.</w:t>
      </w:r>
    </w:p>
    <w:p>
      <w:r>
        <w:rPr>
          <w:b/>
        </w:rPr>
        <w:t>E. 7.3</w:t>
      </w:r>
    </w:p>
    <w:p>
      <w:r>
        <w:t>Sans pour autant minimiser l'importance des raisons d'ordre affectif qui motivent sa demande, le Tribunal ne saurait dès lors admettre, au vu de l'ensemble des éléments du dossier, que le retour de l'intéressée dans sa patrie au terme de l'autorisation requise puisse être considéré comme suffisamment assuré. C'est donc de manière fondée que l'autorité inférieure a écarté l'opposition du 15 juin 2016 et confirmé le refus d'octroyer à l'intéressée une autorisation d'entrée dans l'Espace Schengen.</w:t>
      </w:r>
    </w:p>
    <w:p>
      <w:r>
        <w:rPr>
          <w:b/>
        </w:rPr>
        <w:t>E. 8</w:t>
      </w:r>
    </w:p>
    <w:p>
      <w:r>
        <w:t>S'agissant du motif tiré du caractère arbitraire de la décision de refus du SEM invoqué par la recourante, une décision est considérée comme arbitraire lorsqu'elle est manifestement insoutenable, méconnaît gravement une norme ou un principe juridique clair et indiscuté, ou heurte de manière choquante le sentiment de la justice et de l'équité (cf. notamment ATF 141 III 564 consid. 4.1 et ATF 141 I 49 consid. 3.4). En l'occurrence, on ne peut pas reprocher à l'autorité inférieure d'avoir fait preuve d'arbitraire en refusant d'autoriser l'entrée de l'intéressée dans l'Espace Schengen. Cette autorité a fait application conforme de la législation et de son pouvoir d'appréciation en la matière. Compte tenu de la pression migratoire à laquelle les autorités suisses (et européennes) sont confrontées, on ne peut leur reprocher de mettre en oeuvre une politique restrictive d'entrée dans l'Espace Schengen et ce, à plus forte raison vis-à-vis des ressortissants de pays où le risque migratoire est élevé.</w:t>
      </w:r>
    </w:p>
    <w:p>
      <w:r>
        <w:rPr>
          <w:b/>
        </w:rPr>
        <w:t>E. 9</w:t>
      </w:r>
    </w:p>
    <w:p>
      <w:r>
        <w:t>Ni la recourante, ni sa fille n'ont par ailleurs invoqué de raisons susceptibles de justifier la délivrance à cette dernière d'un visa à validité territoriale limitée (cf. consid. 4.3 supra). Il ne ressort notamment pas du courrier de la recourante du 4 février 2018 que son état de santé serait à ce point grave que la présence de sa fille auprès d'elle serait absolument nécessaire.</w:t>
      </w:r>
    </w:p>
    <w:p>
      <w:r>
        <w:rPr>
          <w:b/>
        </w:rPr>
        <w:t>E. 10</w:t>
      </w:r>
    </w:p>
    <w:p>
      <w:r>
        <w:t>Il s'ensuit, que par sa décision du 19 juillet 2016, l'autorité inférieure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La recourante n'a,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