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F-4971/2022 vom 20. Oktober 2022</w:t>
      </w:r>
    </w:p>
    <w:p>
      <w:r>
        <w:t>Bundesverwaltungsgericht, 2022-10-20, FR</w:t>
      </w:r>
    </w:p>
    <w:p>
      <w:r>
        <w:rPr>
          <w:b/>
        </w:rPr>
        <w:t xml:space="preserve">Quelle: </w:t>
      </w:r>
      <w:r>
        <w:t>https://mcp.opencaselaw.ch/entscheid/bvger_F-4971_2022_d20221020</w:t>
      </w:r>
    </w:p>
    <w:p>
      <w:r>
        <w:t>FR: TAF F-4971/2022 du 20 octobre 2022</w:t>
      </w:r>
    </w:p>
    <w:p>
      <w:r>
        <w:t>IT: TAF F-4971/2022 del 20 ottobre 2022</w:t>
      </w:r>
    </w:p>
    <w:p>
      <w:pPr>
        <w:pStyle w:val="Heading2"/>
      </w:pPr>
      <w:r>
        <w:t>Regeste</w:t>
      </w:r>
    </w:p>
    <w:p>
      <w:r>
        <w:t>Renvoi Dublin (droit des &amp;eacute;trangers) | Renvoi Dublin (droit des étrangers); décision du SEM du 20 octobre 2022</w:t>
      </w:r>
    </w:p>
    <w:p>
      <w:pPr>
        <w:pStyle w:val="Heading2"/>
      </w:pPr>
      <w:r>
        <w:t>Erwägungen</w:t>
      </w:r>
    </w:p>
    <w:p>
      <w:r>
        <w:rPr>
          <w:b/>
        </w:rPr>
        <w:t>E. 26</w:t>
      </w:r>
    </w:p>
    <w:p>
      <w:r>
        <w:t>septembre 2022, qu'en outre, l'intéressé n'a pas déposé de nouvelle demande d'asile en Suisse, que le SEM, informé le 3 octobre 2022 par les autorités migratoires du can- ton de Fribourg que le recourant se trouvait illégalement en Suisse, a sou- mis, le 4 octobre 2022, aux autorités allemandes compétentes une requête de reprise en charge fondée sur l'art. 18 par. 1 let. d du règlement Dublin III, que, n'ayant pas répondu à cette demande de reprise en charge dans le délai prévu par l'art. 25 par. 1 du RD III, l’Allemagne est réputée l'avoir ac- ceptée (cf. art. 25 par. 2 du RD III),</w:t>
      </w:r>
    </w:p>
    <w:p>
      <w:r>
        <w:t>F-4971/2022 Page 5 que ce faisant, cet Etat a reconnu sa responsabilité en vertu dudit règlement et, partant, son obligation de veiller à ce que le requérant ait la possibilité ou ait eu la possibilité de disposer d’un recours effectif en vertu de l’art. 46 de la directive 2013/32/UE (art. 18 par. 2 al. 3 du règlement Dublin), et soit dûment repris en charge (art. 25 par. 2 in fine, par analogie, du règlement Dublin), ainsi que sa compétence pour le renvoi de l’intéressé de l’Espace Dublin (cf. ATAF 2012/4 consid. 3.2.1), que le recourant a contesté son renvoi en Allemagne, déclarant à cet égard, lors de son audition administrative du 30 septembre 2022, vouloir travailler à Zurich, qu’il a également allégué succinctement, dans son pourvoi, être menacé en Allemagne et risquer d’y être arrêté, que, contrairement à l’opinion émise par l’intéressé, le règlement Dublin III ne confère pas aux demandeurs d'asile le droit de choisir l'Etat membre offrant, à leur avis, de meilleures conditions d'accueil comme Etat respon- sable de l'examen de leur demande d'asile (ATAF 2010/45 consid. 8.3, au- quel il y a lieu de se référer par analogie), que le recourant n’apporte au demeurant aucun argument pertinent à re- mettre en cause la compétence de l’Allemagne, fondée sur le règlement Dublin III, que le souhait exprimé par l’intéressé de rester en Suisse, plutôt que d’être renvoyé en Allemagne, relève de la pure convenance personnelle et ne saurait remettre en cause un retour en Allemagne, qui, selon le règlement Dublin III, est l’Etat responsable pour le traitement de son cas, que les conditions nécessaires pour l’application de l’art. 64a al. 1 LEI étant réunies en l’espèce, la décision de renvoi prise par le SEM le 20 octobre 2022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 magne – Etat partie notamment à la CEDH (RS 0.101), à la Convention du</w:t>
      </w:r>
    </w:p>
    <w:p>
      <w:r>
        <w:t>F-4971/2022 Page 6</w:t>
      </w:r>
    </w:p>
    <w:p>
      <w:r>
        <w:rPr>
          <w:b/>
        </w:rPr>
        <w:t>E. 28</w:t>
      </w:r>
    </w:p>
    <w:p>
      <w:r>
        <w:t>juillet 1951 relative au statut des réfugiés (CR, RS 0.142.30) et à la Convention du 10 décembre 1984 contre la torture et autres peines ou trai- tements cruels, inhumains ou dégradants (CCT, RS 0.105) – faillirait à ses obligations internationales en le renvoyant dans son pays d'origine en vio- lation du principe de non-refoulement ou des art. 3 CEDH et CCT, respec- tivement qu'il risquerait d'être victime, en Allemagne, de traitements con- traires aux dispositions desdites conventions, que le recourant n'a pas non plus apporté d'indices objectifs, concrets et sérieux qu'il serait lui-même privé durablement de tout accès aux condi- tions matérielles minimales d'accueil en Allemagne, au point qu’il faudrait renoncer à son transfert dans ce pays, qu’au surplus, l’Allemagne est également liée par la directive n° 2013/32/UE du Parlement européen et du Conseil du 26 juin 2013 rela- 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 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 ment auprès des autorités allemandes en usant des voies de droit adé- quates, qu'au vu de ce qui précède, l'exécution du renvoi du recourant vers l’Allemagne se révèle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t>F-4971/2022 Page 7 qu’en l’occurrence, le recourant est renvoyé dans un État membre de l’Union européenne, à savoir l’Allemagne, qu’il n’a nullement établi que l’exécution de cette mesure serait susceptible, d’une quelconque manière, de le mettre concrètement en danger, que les éléments qu’il a présentés pour s’y opposer, relatifs au risque d’ar- restation ainsi qu’aux menaces dont il ferait l’objet en Allemagne, outre qu’ils ne sont pas établis, ne sont manifestement pas de nature à renverser, à eux seuls, la présomption évoquée ci-dessus, que l’exécution du renvoi est dès lors raisonnablement exigible (cf. art. 83 al. 4 et 5 LEI), que le renvoi est enfin possible (art. 83 al. 2 LEI), l’Allemagne ayant tacite- ment donné son accord à la reprise en charge du recourant (art. 25 par. 2 RD III), que, dans ces conditions, la décision litigieuse doit aussi être confirmée en tant qu’elle concerne l’exécution du renvoi proprement dite, qu’au vu de ce qui précède, le recours doit être rejeté, que le recours se révélant manifestement infondé, il peut être rejeté sans qu’il y ait lieu de procéder à un échange d’écritures (art. 57 al. 1 PA a con- trario), que la demande d’assistance judiciaire partielle doit également être reje- tée, les conclusions prises s’avérant d’emblée dénuées de chances de suc- cès (art. 65 PA), que la demande d’octroi de l’effet suspensif devient sans objet et les me- sures superprovisionnelles prononcées le 1er novembre 2022 sont désor- mais caduques,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demnités fixés par le Tribunal administratif fédéral (FITAF, RS 173.320.2), (dispositif page suivante)</w:t>
      </w:r>
    </w:p>
    <w:p>
      <w:r>
        <w:t>F-4971/2022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