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F-4967/2018 vom 25. März 2019</w:t>
      </w:r>
    </w:p>
    <w:p>
      <w:r>
        <w:t>Bundesverwaltungsgericht, 2019-03-25, FR</w:t>
      </w:r>
    </w:p>
    <w:p>
      <w:r>
        <w:rPr>
          <w:b/>
        </w:rPr>
        <w:t xml:space="preserve">Quelle: </w:t>
      </w:r>
      <w:r>
        <w:t>https://mcp.opencaselaw.ch/entscheid/bvger_F-4967_2018</w:t>
      </w:r>
    </w:p>
    <w:p>
      <w:r>
        <w:t>FR: TAF F-4967/2018 du 25 mars 2019</w:t>
      </w:r>
    </w:p>
    <w:p>
      <w:r>
        <w:t>IT: TAF F-4967/2018 del 25 marzo 2019</w:t>
      </w:r>
    </w:p>
    <w:p>
      <w:pPr>
        <w:pStyle w:val="Heading2"/>
      </w:pPr>
      <w:r>
        <w:t>Regeste</w:t>
      </w:r>
    </w:p>
    <w:p>
      <w:r>
        <w:t>Visa Schengen</w:t>
      </w:r>
    </w:p>
    <w:p>
      <w:pPr>
        <w:pStyle w:val="Heading2"/>
      </w:pPr>
      <w:r>
        <w:t>Erwägungen</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Aussi peut-elle admettre ou rejeter le pourvoi pour d'autres motifs que ceux invoqués (cf. ATAF 2014/1 consid. 2).</w:t>
      </w:r>
    </w:p>
    <w:p>
      <w:r>
        <w:rPr>
          <w:b/>
        </w:rPr>
        <w:t>E. 2.3</w:t>
      </w:r>
    </w:p>
    <w:p>
      <w:r>
        <w:t>Dans son arrêt, elle prend en considération l'état de fait tel qu'il se présente au moment où elle statue (ibid.).</w:t>
      </w:r>
    </w:p>
    <w:p>
      <w:r>
        <w:rPr>
          <w:b/>
        </w:rPr>
        <w:t>E. 3</w:t>
      </w:r>
    </w:p>
    <w:p>
      <w:r>
        <w:t>Le recourant a argué que le SEM avait violé le droit d'être entendu en rendant une décision motivée de manière très générale, sans rapport avec les circonstances du cas concret. Dans la mesure où il fait valoir implicitement une violation du droit d'être entendu, ce moyen doit être examiné en premier lieu vu la nature formelle de cette garantie constitutionnelle dont la violation entraîne en principe l'annulation de la décision attaquée sans égard aux chances de succès du recours sur le fond.</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En particulier, en ce qui concerne le devoir de motivation des décisions, celle-ci est suffisante lorsque l'intéressé est en mesure d'apprécier la portée de l'acte le concernant et de le déférer à une instance supérieure en pleine connaissance de cause. En règle générale, il suffit que l'autorité mentionne au moins brièvement les motifs qui l'ont guidée, sans qu'elle soit tenue de répondre à tous les arguments présentés.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TF 6B_518/2009 du 29 septembre 2009 consid. 2.5 et 1C_35/2009 du 29 mai 2009 consid. 3).</w:t>
      </w:r>
    </w:p>
    <w:p>
      <w:r>
        <w:rPr>
          <w:b/>
        </w:rPr>
        <w:t>E. 3.2</w:t>
      </w:r>
    </w:p>
    <w:p>
      <w:r>
        <w:t>En l'espèce, le SEM a pris en compte la situation socio-économique prévalant en Palestine et a mis en évidence la situation personnelle de l'invité. Il a ainsi retenu que ce dernier travaillait comme contremaitre et n'avait jamais voyagé dans l'Espace Schengen, était marié et était père de quatre enfants mineurs, de sorte que sa sortie de Suisse n'était pas suffisamment garantie. Ainsi, le SEM a examiné la situation concrète de l'invité et même si ces explications demeurent sommaires, elles rapportent néanmoins de manière suffisante les motifs sur lesquels l'administration s'est fondée et étaient partant conformes aux réquisits jurisprudentiels susmentionnés. Dès lors, tout grief tiré de la violation du droit d'être entendu doit être rejeté.</w:t>
      </w:r>
    </w:p>
    <w:p>
      <w:r>
        <w:rPr>
          <w:b/>
        </w:rPr>
        <w:t>E. 4.1</w:t>
      </w:r>
    </w:p>
    <w:p>
      <w:r>
        <w:t>Le 1er janvier 2019, la loi sur les étrangers du 16 décembre 2005 (LEtr) a connu une modification partielle comprenant également un changement de sa dénomination (modification de la LEtr du 16 décembre 2016). Ainsi, la LEtr s'appelle nouvellement loi fédérale sur les étrangers et l'intégration du 16 décembre 2005 (LEI, RO 2018 3171). En parallèle sont entrés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4.2</w:t>
      </w:r>
    </w:p>
    <w:p>
      <w:r>
        <w:t>Selon la jurisprudence, 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en principe à régler un comportement futur (cf. notamment ATF 139 II 263 consid. 6 et ATF 139 II 243 consid. 11.1, voir également Tanquerel, Manuel de droit administratif, 2e édition, 2018, n°410s p. 140s, Moor, Flückiger et Martenet, Droit administratif, Vol. 1, 2012, p. 187, Tschannen, Zimmerli et Müller, Allgemeines Verwaltungsrecht, 4e édition 2014, n° 20 p. 202 et Dubey et Zufferey, Droit administratif général, 2014, n° 366 p. 132).</w:t>
      </w:r>
    </w:p>
    <w:p>
      <w:r>
        <w:rPr>
          <w:b/>
        </w:rPr>
        <w:t>E. 4.3</w:t>
      </w:r>
    </w:p>
    <w:p>
      <w:r>
        <w:t>Cela étant, une 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Ainsi, un changement de loi intervenu au cours d'une procédure de recours devant un tribunal administratif n'a en principe pas à être pris en considération, à moins qu'une application immédiate du nouveau droit s'impose pour des motifs impératifs, par exemple pour des raisons d'ordre ou de sécurité publics ou pour la sauvegarde d'intérêts publics prépondérants (cf. ATF 141 II 393 consid. 2.4, 139 II 470 consid. 4.2 et 135 II 384 consid. 2.3, voir également Tanquerel, op. cit., n° 412s p. 141s, Moor, Flückiger et Martenet, op. cit., n° 2.4.2.4, Häfelin, Müller und Uhlmann , Allgemeines Verwaltungsrecht, 7e édition, 2016, n° 294 p. 69, Dubey et Zufferey, op. cit., n° 367 p. 132 et Tschannen, Zimmerli et Müller, op. cit., n° 20 p. 202). Une autre exception se conçoit dans l'hypothèse où le nouveau droit permettrait la révocation de la décision prise selon l'ancien droit, ainsi que dans l'hypothèse où la nouvelle règlementation est plus favorable à l'administré que l'ancien droit (en ce sens cf. notamment Dubey et Zufferey, Droit administratif général, 2014, n° 366s p. 132 et Moor, Flückiger et Martenet, op. cit., pt. 2.4.2.4 p. 194).</w:t>
      </w:r>
    </w:p>
    <w:p>
      <w:r>
        <w:rPr>
          <w:b/>
        </w:rPr>
        <w:t>E. 4.4</w:t>
      </w:r>
    </w:p>
    <w:p>
      <w:r>
        <w:t>En l'occurrence, la décision querellée a été prononcée avant l'entrée en vigueur du nouveau droit au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dans sa teneur en vigueur jusqu'au 31 décembre 2018, (dans le même sens, cf. ATF 135 II 384 consid. 2.3), y compris en rapport avec la dénomination de cette loi. Il en va de même en rapport avec l'OASA et l'OIE qui seront citées selon leur teneur valable jusqu'au 31 décembre 2018.</w:t>
      </w:r>
    </w:p>
    <w:p>
      <w:r>
        <w:rPr>
          <w:b/>
        </w:rPr>
        <w:t>E. 5</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arrêt du TAF F-6668/2015 du 3 novembre 2016 consid. 3.1 et jurisprudence citée).</w:t>
      </w:r>
    </w:p>
    <w:p>
      <w:r>
        <w:rPr>
          <w:b/>
        </w:rPr>
        <w:t>E. 5.1</w:t>
      </w:r>
    </w:p>
    <w:p>
      <w:r>
        <w:t>S'agissant des conditions d'entrée en Suisse pour un séjour n'excédant pas nonante jours, la législation européenne, reprise par la Suisse dans le cadre des accords d'association à Schengen, s'applique (cf. art. 2 al. 4 LEtr [RS 142.20]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5.2</w:t>
      </w:r>
    </w:p>
    <w:p>
      <w:r>
        <w:t>En tant que ressortissant palestinien, les invités sont soumis à l'obligation du visa selon l'art. 1 par. 1 et l'annexe I du règlement précité.</w:t>
      </w:r>
    </w:p>
    <w:p>
      <w:r>
        <w:rPr>
          <w:b/>
        </w:rPr>
        <w:t>E. 5.3</w:t>
      </w:r>
    </w:p>
    <w:p>
      <w:r>
        <w:t>S'agissant des conditions d'entrée en Suisse pour un séjour n'excédant pas 90 jours, l'art. 2 al. 1 OEV, dans sa teneur en vigueur depuis le 16 mai 2016, renvoie à l'art. 6 du règlement [UE] 2016/399 du Parlement européen et du Conseil du 9 mars 2016 concernant un code de l'Union relatif au régime de franchissement des frontières par les personnes (code frontières Schengen, version codifiée ; JO L 77/1 du 23 mars 2016 p.1-52).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5.4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5.5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6 par. 5 let. c du code frontières Schengen).</w:t>
      </w:r>
    </w:p>
    <w:p>
      <w:r>
        <w:rPr>
          <w:b/>
        </w:rPr>
        <w:t>E. 6.1</w:t>
      </w:r>
    </w:p>
    <w:p>
      <w:r>
        <w:t>Il importe de relever que, selon une pratique constante,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Ainsi, un visa peut seulement être octroyé s'il n'existe pas des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F-4875/2015 du 13 septembre 2016 consid. 6.1).</w:t>
      </w:r>
    </w:p>
    <w:p>
      <w:r>
        <w:rPr>
          <w:b/>
        </w:rPr>
        <w:t>E. 6.2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arrêt du TAF F-4875/2015 du 13 septembre 2016 consid. 6.1). Ainsi, il y a lieu de se montrer d'autant plus exigeant que la situation dans le pays d'origine est difficile.</w:t>
      </w:r>
    </w:p>
    <w:p>
      <w:r>
        <w:rPr>
          <w:b/>
        </w:rPr>
        <w:t>E. 7.1</w:t>
      </w:r>
    </w:p>
    <w:p>
      <w:r>
        <w:t>Selon plusieurs rapports macro-économiques récents, la qualité de vie et les conditions économiques et sociales restent précaires en Cisjordanie - la plus vaste des deux zones constituant les territoires palestiniens (dans laquelle se trouve la ville de Ramallah, où réside le requérant). En 2017, les perspectives économiques sont restées fragiles, les problèmes de sécurité et les frictions politiques ayant ralenti la croissance économique. Le chômage est resté élevé en Cisjordanie, à 19,0 % au troisième trimestre de 2017, soit à peine mieux que 19,6 % au même moment l'année précédente, tandis que le taux d'activité est resté stable (cf. Central Intelligence Agency, The World factbook, 22.01.2019, &lt;https://www.cia.gov/library/publications/resources/the-world-factbook/geos/we.html&gt;, consulté le 5 mars 2019 ; cf. également United Nations Development Programme, Briefing note for countries on the 2018 Statistical Update: Palestine (State of), &lt;http://hdr.undp.org/sites/all/themes/hdr_theme/country-notes/PSE.pdf , consulté le 5 mars 2019). Ainsi, selon le rapport des Nations-Unies précité, l'index du développement humain de l'Etat de Palestine placerait celui-ci au numéro 119 sur 189 pays dans le monde (« State of Palestine's HDI value for 2017 is 0.686- which put the country in the medium human development category-positioning it at 119 out of 189 countries and territories »), alors que la Suisse se trouve en position no. 2 (cf. United Nations Development Programme, Briefing note for countries on the 2018 Statistical Update : Switzerland, &lt;http://hdr.undp.org/sites/all/themes/hdr_theme/country-notes/PSE.pdf&gt;, consulté le 5 mars 2019).</w:t>
      </w:r>
    </w:p>
    <w:p>
      <w:r>
        <w:rPr>
          <w:b/>
        </w:rPr>
        <w:t>E. 7.2</w:t>
      </w:r>
    </w:p>
    <w:p>
      <w:r>
        <w:t>Il est donc clair que la Cisjordanie connait une situation politiquement, socialement ou économiquement moins favorisée que celle de la Suisse et il est donc concevable que ceci puisse influencer le comportement d'une personne sollicitant un visa pour s'y rendre (cf. arrêt du TAF F-4875/2015).</w:t>
      </w:r>
    </w:p>
    <w:p>
      <w:r>
        <w:rPr>
          <w:b/>
        </w:rPr>
        <w:t>E. 7.3</w:t>
      </w:r>
    </w:p>
    <w:p>
      <w:r>
        <w:t>Sur l'argument du SEM tiré sur la « forte pression migratoire », le recourant l'a trouvé « exagéré ». Se basant sur les données de l'administration fédérale (Office fédéral des statiques) de 2016, il a soutenu que les informations officielles montraient que la population étrangère originaire de Palestine n'excédait pas 250 personnes, que ce chiffre bas était stable depuis plusieurs années et que dès lors on ne pouvait parler, en tant que tel, de « forte pression migratoire ».</w:t>
      </w:r>
    </w:p>
    <w:p>
      <w:r>
        <w:rPr>
          <w:b/>
        </w:rPr>
        <w:t>E. 7.4</w:t>
      </w:r>
    </w:p>
    <w:p>
      <w:r>
        <w:t>Une analyse détaillée conduit cependant à l'adoption d'une attitude plus nuancée. D'abord, le Tribunal constate que le nombre d'étrangers d'origine palestinienne résidents en Suisse a passé de 56 en 1997 à 157 en 2007 pour atteindre finalement 240 en 2017 (voir : Office fédéral des statistiques, Population résidante permanente étrangère selon la nationalité, 1980-2017, &lt;https://www.bfs.admin.ch/bfs/fr/home/statistiques/population/migration-integration/nationalite-etrangere.assetdetail.5866921.html&gt;, consulté le 5 mars 2019). L'augmentation est de 180.3% dans la décennie 1997-2007 et de 52.8% dans la décennie suivante. Vu sous cet angle, il ne peut être contesté que le nombre d'étrangers en Suisse d'origine palestinienne est resté instable ces dernières années et qu'il a même connu une forte augmentation, malgré le fait qu'en valeur absolue les chiffres restent modestes pour ce qui est de la Suisse (ce qui ne veut pas dire qu'au niveau de l'Europe, les chiffres ne sont pas importants, cf. Tareq Arar, Palestinians exiled in Europe, printemps 2006, http://www.badil.org/en/component/k2/item/962-palestinians-exiled-in-europe.html , consulté le 5 mars 2019, qui fait état d'une population de 200'000 à 300'000 palestiniens en Europe de l'Ouest : « Currently, the number of Palestinians in Europe is estimated to be between 200,000 - 300,000, mainly in Germany, Great Britain, Denmark and Sweden. »). Un autre rapport coparrainé par l'Union Européenne illustre clairement les pressions migratoires en provenance de la Cisjordanie. En effet, selon l'Institut universitaire européen basé à Florence, un nombre moyen de 6,570 palestiniens ont quitté le pays chaque année entre 2005 et 2009 (soit 32,850 personnes sur une population arabe palestinienne en Cisjordanie 2'719'112 en 2013, selon l'institut de statistiques palestiniens PCBS, cf. European University Institute, MPC - Migration Profile : Palestine, June 2013, &lt;http://www.migrationpolicycentre.eu/docs/migration_profiles/Palestine.pdf , consulté le 5 mars 2019). En ce qui concernant les raisons qui conduisent les palestiniens à émigrer, celles-ci incluent (a) faire des études à l'étranger (34.4%), (b) des raisons familiales (21.9%, dont 64% sont des femmes), (c) l'amélioration de leurs conditions de vie (14.6%) ou (d) la recherche d'un emploi (13.7%) (cf. ibid.). Et donc, un nombre non négligeable de palestiniens émigrent pour des raisons économiques (28.3%). Le SEM était donc fondé à penser qu'au vu des conditions d'existence auxquelles tout ressortissant palestinien est confronté, le risque migratoire reste très élevé.</w:t>
      </w:r>
    </w:p>
    <w:p>
      <w:r>
        <w:rPr>
          <w:b/>
        </w:rPr>
        <w:t>E. 7.5</w:t>
      </w:r>
    </w:p>
    <w:p>
      <w:r>
        <w:t>Comme l'a relevé l'autorité inférieure, ces conditions de vie défavorables peuvent s'avérer décisives lorsqu'une personne prend la décision de quitter sa patrie ou son pays de résidence,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dans le cas du requérant qui dispose d'un frère en Suisse. Aussi, eu égard à la situation générale prévalant en Palestine et aux nombreux avantages qu'offrent la Suisse et d'autres Etats membres de l'Espace Schengen (en termes de niveau et de qualité de vie, d'emploi, de sécurité, d'infrastructures socio-médicales, etc.), le Tribunal ne saurait de prime abord faire abstraction du risque d'une éventuelle prolongation par l'intéressé de son séjour sur le territoire helvétique ou sur le territoire de l'Espace Schengen au-delà de la durée de validité de son visa (dans le même sens, cf. arrêts du TAF F-4175/2017 du 7 mai 2018 consid. 5.4 et C-7856/2015 du 24 février 2016 consid. 6.2).</w:t>
      </w:r>
    </w:p>
    <w:p>
      <w:r>
        <w:rPr>
          <w:b/>
        </w:rPr>
        <w:t>E. 8.1</w:t>
      </w:r>
    </w:p>
    <w:p>
      <w:r>
        <w:t>Toutefois, cette situation dans le pays de résidence ne suffit pas, à elle seule, à conclure à l'absence de garantie quant à la sortie de Suisse et de l'Espace Schengen à l'issue du séjour projeté, toutes les particularités du cas d'espèce devant être prises en considération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8.2</w:t>
      </w:r>
    </w:p>
    <w:p>
      <w:r>
        <w:t>Il convient dès lors d'examiner si, en l'état, la situation personnelle, familiale, professionnelle et patrimoniale de l'intéressé ayant sollicité un visa Schengen plaide en faveur de sa sortie ponctuelle de Suisse (ou de l'Espace Schengen) au terme du séjour envisagé.</w:t>
      </w:r>
    </w:p>
    <w:p>
      <w:r>
        <w:rPr>
          <w:b/>
        </w:rPr>
        <w:t>E. 8.2.1</w:t>
      </w:r>
    </w:p>
    <w:p>
      <w:r>
        <w:t>Concernant la situation patrimoniale de l'intéressé, on relèvera que celui-ci apparait comme ayant vraisemblablement les moyens de vivre raisonnablement à Ramallah (cf. les annexes du mémoire de recours du 29 août 2018, qui incluent des attestations de travail pour le requérant comme contremaitre et de sa femme comme enseignante, sans toutefois mentionner les salaires mensuels perçus), leurs enfants fréquentant l'école publique locale gratuite. Le recourant a en outre indiqué que le requérant possédait un compte un banque où, au 13 juin 2018, figurait un solde créditeur de ILS5'000 (approximativement CHF1'375). Cela dit, l'intégralité du solde créditeur semble avoir été versée sur le compte de l'intéressé le 29 avril 2018, laissant supposer que celui-ci aurait été créé pour les besoins de la cause. Aucun autre versement ne semble avoir été effectué depuis.</w:t>
      </w:r>
    </w:p>
    <w:p>
      <w:r>
        <w:rPr>
          <w:b/>
        </w:rPr>
        <w:t>E. 8.2.2</w:t>
      </w:r>
    </w:p>
    <w:p>
      <w:r>
        <w:t>Le recourant allègue également que le requérant serait propriétaire d'une parcelle de 98 mètres carrés dans un village en Cisjordanie. Cela étant, il n'est pas clairement établit que le requérant soit encore propriétaire de la parcelle précitée, les inscriptions du registre foncier versées en cause ayant été biffées. De plus, les extraits du registre foncier ne livrent aucune information sur la valeur des biens immobiliers.</w:t>
      </w:r>
    </w:p>
    <w:p>
      <w:r>
        <w:rPr>
          <w:b/>
        </w:rPr>
        <w:t>E. 8.2.3</w:t>
      </w:r>
    </w:p>
    <w:p>
      <w:r>
        <w:t>Quoiqu'il en soit, les montants qui ont pu être démontrés ne sont pas suffisamment élevés pour soutenir l'allégation que le requérant disposerait de moyens particulièrement élevés pour vivre de telle manière à Ramallah que l'on put exclure tout risque de le voir demeurer en Suisse au terme d'un visa Schengen si celui-ci venait à lui être octroyé.</w:t>
      </w:r>
    </w:p>
    <w:p>
      <w:r>
        <w:rPr>
          <w:b/>
        </w:rPr>
        <w:t>E. 8.2.4</w:t>
      </w:r>
    </w:p>
    <w:p>
      <w:r>
        <w:t>Enfin, la présence d'une épouse et de quatre enfants, tous de nationalité israélienne, à Ramallah, même si elle constitue une circonstance de nature à inciter une personne concernée à retourner sur place, ne saurait changer l'appréciation du Tribunal en l'espèce, au vu des disparités considérables d'un point de vue socioéconomique qui existe entre ce pays et la Suisse et qui sont propres à influencer la décision d'une personne de quitter sa patrie. En effet, il est parfaitement concevable que le requérant attende d'abord d'avoir pu régulariser sa propre entrée dans l'espace Schengen avant de faire partir sa famille. Ainsi, si la présence de sa femme et ses enfants à Ramallah parle effectivement en faveur d'un certain ancrage de sa famille en Cisjordanie, celui-ci doit toutefois être fortement relativisé. Au vu de ces éléments, le Tribunal juge que l'appréciation du SEM, selon laquelle la sortie de l'intéressé de l'espace Schengen ne pouvait être garantie avant le terme d'un visa doit être retenue.</w:t>
      </w:r>
    </w:p>
    <w:p>
      <w:r>
        <w:rPr>
          <w:b/>
        </w:rPr>
        <w:t>E. 9.1</w:t>
      </w:r>
    </w:p>
    <w:p>
      <w:r>
        <w:t>L'hôte s'est prêté fort des coûts du séjour de son frère en Suisse et garant de son retour en Palestine au terme de son séjour dans l'espace Schengen (cf. lettre du recourant du 22 juin 2018 au SEM). Dans son mémoire de recours (cf. page 2, 2ème paragraphe), il a toutefois argué que son frère retournerait certainement en Palestine parce qu'il n'avait pas, en tant qu'hôte, « les moyens financiers pour couvrir un séjour prolongé ». Cette admission cependant diminue, plutôt qu'elle ne renforce, la crédibilité de la garantie offerte le 22 juin 2018. Le but de toute garantie est en effet de couvrir les frais qui seraient occasionnés par une situation où précisément il y aurait une violation aux règles temporelles du visa et que le recourant reconnait qu'il ne pourrait faire face aux répercussions financières qu'engendreraient un séjour prolongé de son frère en Suisse.</w:t>
      </w:r>
    </w:p>
    <w:p>
      <w:r>
        <w:rPr>
          <w:b/>
        </w:rPr>
        <w:t>E. 9.2</w:t>
      </w:r>
    </w:p>
    <w:p>
      <w:r>
        <w:t>Dans ces circonstances, le Tribunal est amené à conclure que la garantie offerte par le recourant en date du 22 juin 2018 n'a pas la valeur qui lui serait nécessaire pour être crédible et effective.</w:t>
      </w:r>
    </w:p>
    <w:p>
      <w:r>
        <w:rPr>
          <w:b/>
        </w:rPr>
        <w:t>E. 10</w:t>
      </w:r>
    </w:p>
    <w:p>
      <w:r>
        <w:t>Il s'ensuit que, par sa décision du 9 août 2018,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