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F-4962/2023 vom 6. Mai 2024</w:t>
      </w:r>
    </w:p>
    <w:p>
      <w:r>
        <w:t>Bundesverwaltungsgericht, 2024-05-06, DE</w:t>
      </w:r>
    </w:p>
    <w:p>
      <w:r>
        <w:rPr>
          <w:b/>
        </w:rPr>
        <w:t xml:space="preserve">Quelle: </w:t>
      </w:r>
      <w:r>
        <w:t>https://mcp.opencaselaw.ch/entscheid/bvger_F-4962_2023</w:t>
      </w:r>
    </w:p>
    <w:p>
      <w:r>
        <w:t>FR: TAF F-4962/2023 du 6 mai 2024</w:t>
      </w:r>
    </w:p>
    <w:p>
      <w:r>
        <w:t>IT: TAF F-4962/2023 del 6 maggio 2024</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31 ff. VGG i.V.m. Art. 5 VwVG).</w:t>
      </w:r>
    </w:p>
    <w:p>
      <w:r>
        <w:rPr>
          <w:b/>
        </w:rPr>
        <w:t>E. 1.2</w:t>
      </w:r>
    </w:p>
    <w:p>
      <w:r>
        <w:t>Das Rechtsmittelverfahren richtet sich nach dem VwVG, soweit das VGG nichts anderes bestimmt (Art. 37 VGG).</w:t>
      </w:r>
    </w:p>
    <w:p>
      <w:r>
        <w:rPr>
          <w:b/>
        </w:rPr>
        <w:t>E. 1.3</w:t>
      </w:r>
    </w:p>
    <w:p>
      <w:r>
        <w:t>Die Beschwerdeführenden haben am vorangegangenen Einsprache- verfahren teilgenommen. Sie sind als Verfügungsadressaten und der Be- schwerdeführer 4 als Gastgeber der eingeladenen Personen durch den an- gefochtenen Entscheid besonders berührt. Obwohl der ursprünglich ange- strebte Besuchszeitraum inzwischen abgelaufen ist, muss auf ein fortbe- stehendes Rechtsschutzinteresse geschlossen werden. Dies belegt allein schon die Einreichung des Rechtsmittels. Sie sind daher zur Erhebung des Rechtsmittels legitimiert (Art. 48 Abs. 1 VwVG). Auf die im Übrigen frist- und formgerecht eingereichte Beschwerde ist einzutreten (vgl. Art. 50 Abs. 1 und 52 Abs. 1 VwVG).</w:t>
      </w:r>
    </w:p>
    <w:p>
      <w:r>
        <w:t>F-4962/2023 Seite 4</w:t>
      </w:r>
    </w:p>
    <w:p>
      <w:r>
        <w:rPr>
          <w:b/>
        </w:rPr>
        <w:t>E. 1.4</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Entscheides (vgl. BVGE 2014/1 E. 2 m.H.).</w:t>
      </w:r>
    </w:p>
    <w:p>
      <w:r>
        <w:rPr>
          <w:b/>
        </w:rPr>
        <w:t>E. 3.1</w:t>
      </w:r>
    </w:p>
    <w:p>
      <w:r>
        <w:t>Der angefochtenen Verfügung liegt das Gesuch von drei türkischen Staatsangehörigen um Erteilung eines Visums zu Besuchszwecken für die Schweiz zugrunde. Da sich die Gesuchstellenden nicht auf die EU/EFTA- Personenfreizügigkeitsabkommen berufen können und die beabsichtigte Aufenthaltsdauer 90 Tage nicht überschreitet, fällt die vorliegende Streitsa- che in den persönlichen und sachlichen Anwendungsbereich der Schen- gen-Assoziierungsabkommen, mit denen die Schweiz den Schengen-Be- sitzstand und die dazugehörigen gemeinschaftsrechtlichen Rechtsakte übernommen hat (BVGE 2014/1 E. 3; 2011/48 E. 3). Das Ausländer- und Integrationsgesetz (AIG, SR 142.20) und dessen Ausführungsbestimmun- gen gelangen nur soweit zur Anwendung, als die Schengen-Assoziierungs- abkommen keine abweichenden Bestimmungen enthalten (Art. 2 Abs. 4 AIG).</w:t>
      </w:r>
    </w:p>
    <w:p>
      <w:r>
        <w:rPr>
          <w:b/>
        </w:rPr>
        <w:t>E. 3.2</w:t>
      </w:r>
    </w:p>
    <w:p>
      <w:r>
        <w:t>Das schweizerische Ausländerrecht kennt weder ein allgemeines Recht auf Einreise noch gewährt es einen Anspruch auf Erteilung eines Visums. Die Schweiz ist daher grundsätzlich nicht gehalten, drittstaatsan- 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bzw. Visum vermittelt auch das Schen- gen-Recht nicht (BVGE 2014/1 E. 4.1.1 und 4.1.5; 2011/48 E. 4).</w:t>
      </w:r>
    </w:p>
    <w:p>
      <w:r>
        <w:t>F-4962/2023 Seite 5</w:t>
      </w:r>
    </w:p>
    <w:p>
      <w:r>
        <w:rPr>
          <w:b/>
        </w:rPr>
        <w:t>E. 4.1</w:t>
      </w:r>
    </w:p>
    <w:p>
      <w:r>
        <w:t>Drittstaatsangehörige benötigen zur Einreise in den Schengen-Raum für einen Aufenthalt von höchstens 90 Tagen innerhalb eines Zeitraums von 180 Tagen gültige Reisedokumente, die zum Grenzübertritt berechtigen, sowie ein Visum, sofern dieses – wie vorliegend – erforderlich ist (Art. 8 Abs. 1 der Verordnung vom 15. August 2018 über die Einreise und die Vi- sumerteilung [VEV, SR 142.204] i.V.m. Anhang I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28.11.2018]).</w:t>
      </w:r>
    </w:p>
    <w:p>
      <w:r>
        <w:rPr>
          <w:b/>
        </w:rPr>
        <w:t>E. 4.2</w:t>
      </w:r>
    </w:p>
    <w:p>
      <w:r>
        <w:t>Im Weiteren müssen Drittstaatsangehörige den Zweck und die Um- stände ihres beabsichtigten Aufenthalts belegen und hierfür über ausrei- chend finanzielle Mittel verfügen. Namentlich haben sie in diesem Zusam- menhang zu belegen, dass sie den Schengen-Raum vor Ablauf des bewil- ligungsfreien Aufenthalts verlassen, beziehungsweise ausreichende Ge- währ für eine fristgerechte Wiederausreise bieten. Sie dürfen sodann nicht im Schengener Informationssystem zur Einreiseverweigerung ausge- schrieben sein und keine Gefahr für die öffentliche Ordnung, die innere Sicherheit, die öffentliche Gesundheit oder die internationalen Beziehun- gen eines Mitgliedstaats darstellen (vgl. zu den Einreisevoraussetzungen Art. 5 Abs. 1 und 2 AIG; Art. 3 und Art. 8 VEV i.V.m. Art. 6 Abs. 1 und 2 der Verordnung [EU] 2016/399 des Europäischen Parlaments und des Rates vom 9. März 2016 über einen Gemeinschaftskodex für das Überschreiten der Grenzen durch Personen [Schengener Grenzkodex, SGK, ABl. L 77/1 vom 23.3.2016]; Art. 14 Abs. 1 und Art. 21 Abs. 1 der Verordnung [EG] Nr. 810/2009 des Europäischen Parlaments und des Rates vom 13. Juli 2009 über einen Visakodex der Gemeinschaft [Visakodex, VK, ABl. L 243/1 vom 15.09.2009]).</w:t>
      </w:r>
    </w:p>
    <w:p>
      <w:r>
        <w:rPr>
          <w:b/>
        </w:rPr>
        <w:t>E. 4.3</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 ben zu prüfen und Drittstaatsangehörige zu belegen, dass die Gefahr einer rechtswidrigen Einwanderung oder einer nicht fristgerechten Ausreise nicht besteht (Art. 14 Abs. 1 Bst. d und Art. 21 Abs. 1 VK). Bestehen Zweifel an der von der drittstaatsangehörigen Person bekundeten Absicht, das Ho- heitsgebiet der Mitgliedstaaten vor Ablauf der Gültigkeit des beantragten</w:t>
      </w:r>
    </w:p>
    <w:p>
      <w:r>
        <w:t>F-4962/2023 Seite 6 Visums wieder zu verlassen, ist das Visum zu verweigern (Art. 32 Abs. 1 Bst. b VK; BVGE 2014/1 E. 4.4 f.). Den Behörden kommt bei der Beurtei- lung, ob die Voraussetzungen für die Visumerteilung erfüllt sind, ein weiter Spielraum zu (BVGE 2014/1 E. 4.1.5).</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ein Staat unter anderem Gebrauch machen, wenn er es aus hu- manitären Gründen, aus solchen des nationalen Interesses oder aufgrund internationaler Verpflichtungen für erforderlich hält (vgl. Art. 3 Abs. 4 VEV; Art. 25 Abs. 1 Bst. a VK; Art. 6 Abs. 5 Bst. c SGK).</w:t>
      </w:r>
    </w:p>
    <w:p>
      <w:r>
        <w:rPr>
          <w:b/>
        </w:rPr>
        <w:t>E. 5</w:t>
      </w:r>
    </w:p>
    <w:p>
      <w:r>
        <w:t>und 18). Dies lässt auf gefestigte berufliche und finanzielle Verhältnisse schliessen. Losgelöst von der sich für die Beschwerdeführerin 3 in abseh- barer Zeit eröffnenden Option des Erhalts eines sog. «grünen Passes» mit der damit verbundenen Möglichkeit der künftigen visumsfreien Einreise in Schengen-Staaten (siehe bspw. Beschwerdebeilage 6) hat sie im Bewilli- gungsverfahren im Übrigen stets angegeben, nur während der Schulferien, welche in der Türkei länger als hierzulande dauern, besuchsweise in die Schweiz kommen zu wollen. All dies spricht tendenziell eher für eine ter- mingerechte Wiederausreise.</w:t>
      </w:r>
    </w:p>
    <w:p>
      <w:r>
        <w:rPr>
          <w:b/>
        </w:rPr>
        <w:t>E. 5.1</w:t>
      </w:r>
    </w:p>
    <w:p>
      <w:r>
        <w:t>Bei der Beurteilung der Gewähr für eine fristgerechte Wiederausreise steht ein zukünftiges Verhalten in Frage, weshalb sich darüber lediglich Prognosen treffen lassen. Hierzu sind alle Umstände des Einzelfalls zu würdigen. Die Beweisführungslast obliegt der gesuchstellenden Person (Art. 14 Abs. 1 Bst. d VK; Art. 14 Abs. 3 i.V.m. Anhang II VK; Art. 6 Abs. 1 Bst. c SGK; Art. 5 Abs. 2 AIG; BVGE 2014/1 E. 4.4). Anhaltspunkte zur Be- urteilung der Gewähr für eine fristgerechte Wiederausreise bilden einer- seits die allgemeine Lage im Herkunftsland und andererseits die individu- elle Situation der gesuchstellenden Person. Es rechtfertigt sich, Einreise- gesuchen von Personen aus Regionen mit politisch oder wirtschaftlich eher ungünstigen Verhältnissen mit einer gewissen Zurückhaltung zu begeg- nen, da die persönliche Interessenlage in solchen Fällen häufig nicht mit Ziel und Zweck einer zeitlich befristeten Einreisebewilligung in Einklang steht (BVGE 2014/1 E. 6.1).</w:t>
      </w:r>
    </w:p>
    <w:p>
      <w:r>
        <w:rPr>
          <w:b/>
        </w:rPr>
        <w:t>E. 5.2</w:t>
      </w:r>
    </w:p>
    <w:p>
      <w:r>
        <w:t>Die Türkei befindet sich in einer schwierigen wirtschaftlichen Lage, auch wenn deren Wirtschaft infolge der Konsumausgaben der Bevölkerung derzeit ein Wachstum ausweist. Die Inflation bleibt sehr hoch, aber immer- hin verlangsamt sich der Preisanstieg. Inflationstreiber waren unter ande- rem Bekleidung, Gastronomie und die Schwäche der Landeswährung. Die Verbraucherpreise sind in jüngerer Vergangenheit stark gestiegen (im Ok- tober 2023 im Vergleich zum Vorjahresmonat bspw. um 61,36 Prozent). Gemäss Äusserungen der Chefin der Zentralbank sollten sich die türki- schen Verbraucher aber auf weitere Preissteigerungen in den kommenden Monaten einstellen. In den vergangenen zwölf Monaten hat die Lira zum Euro zudem massiv an Wert eingebüsst (vgl. Businessinsider.de, Phäno- men Türkei: Starkes Wachstum trotz Inflation und Lira-Verfall,</w:t>
      </w:r>
    </w:p>
    <w:p>
      <w:r>
        <w:t>F-4962/2023 Seite 7 https://www.businessinsider.de/wirtschaft/phaenomen-tuerkei-starkes- wachstum-obwohl-inflation-lira-verfall/; abgerufen am 09.02.2024). Weiter- hin angespannt bleibt auch die innenpolitische Situation. In den grösseren Städten kann es wegen innenpolitischer Spannungen zu Demonstrationen und Ausschreitungen kommen. Die bewaffneten Konflikte in den Nachbar- ländern Syrien und Irak können sodann, auch kurzfristig, Auswirkungen auf die Sicherheitslage haben, insbesondere in den Grenzregionen. Trotz er- höhter Sicherheitsmassnahmen muss in allen Teilen des Landes grund- sätzlich von einer terroristischen Gefährdung ausgegangen werden (vgl. Eidgenössisches Departement für auswärtige Angelegenheiten EDA, Rei- sehinweise für die Türkei, https://www.eda.admin.ch/eda/de/home/vertre- tungen-und-reisehinweise/tuerkei/reisehinweise-fuerdietuerkei.html, publi- ziert am 2. Oktober 2023, abgerufen am 09.02.2024; ferner Urteile des BVGer F-5280/2023 vom 15. November 2023 E. 5.3 oder F-4119/2022 vom 28. März 2023 E. 5.2).</w:t>
      </w:r>
    </w:p>
    <w:p>
      <w:r>
        <w:rPr>
          <w:b/>
        </w:rPr>
        <w:t>E. 5.3</w:t>
      </w:r>
    </w:p>
    <w:p>
      <w:r>
        <w:t>Vor diesem Hintergrund ist nicht zu beanstanden, dass die Vorinstanz das Risiko einer nicht fristgerechten Wiederausreise von Besucherinnen und Besuchern aus der Türkei allgemein als hoch einschätzt. Allein auf- grund der allgemeinen Lage im Herkunftsland darf allerdings nicht auf eine unzureichend gesicherte Wiederausreise geschlossen werden. So sind bei der Risikoanalyse nicht nur die allgemeinen Umstände, sondern auch sämtliche Gesichtspunkte des konkreten Einzelfalls zu berücksichtigen. Durch besondere berufliche, gesellschaftliche oder familiäre Verpflichtun- gen kann die Prognose für eine anstandslose Wiederausreise begünstigt werden. Umgekehrt muss bei Personen, die in ihrer Heimat keine derarti- gen Verpflichtungen haben, das Risiko eines ausländerrechtlich nicht re- gelkonformen Verhaltens nach einer bewilligten Einreise als hoch einge- schätzt werden (BVGE 2014/1 E. 6.3.1).</w:t>
      </w:r>
    </w:p>
    <w:p>
      <w:r>
        <w:rPr>
          <w:b/>
        </w:rPr>
        <w:t>E. 5.4</w:t>
      </w:r>
    </w:p>
    <w:p>
      <w:r>
        <w:t>Bei den eingeladenen Personen handelt es sich um den (…)-jährigen Vater und die (…)-jährige Mutter des Gastgebers sowie dessen (…)-jährige Schwester. Die Eltern des Gastgebers sind pensioniert. Aufgrund der Akten ist davon auszugehen, dass ihnen in ihrem Heimatland keine über das üb- liche Mass hinausgehenden familiären Verpflichtungen obliegen. Die mit- eingeladene Beschwerdeführerin 3 ist geschieden und Mutter eines min- derjährigen Kindes (geb. […]). Dieses steht unter ihrer Obhut, aber unter gemeinsamer elterlicher Sorge. Es würde während des geplanten Be- suchsaufenthalts im Herkunftsland verbleiben. Zwar ist eine gewisse fami- liäre Verwurzelung in der Türkei von daher nicht zu verneinen; dem SEM ist aber insoweit beizupflichten, dass dies allein die Beschwerdeführenden</w:t>
      </w:r>
    </w:p>
    <w:p>
      <w:r>
        <w:t>F-4962/2023 Seite 8 1-3 wohl nicht nachhaltig von einer allfälligen Emigration abzuhalten ver- möchte. Jedenfalls gilt dies für die Beschwerdeführenden 1 und 2. Ent- sprechend grosse Bedeutung kommt deshalb den wirtschaftlichen Verhält- nissen zu, in denen die eingeladenen Personen leben. Daran anknüpfend, gilt es gewisse Faktoren miteinzubeziehen, welche in diesem Einzelfall als relevant erscheinen.</w:t>
      </w:r>
    </w:p>
    <w:p>
      <w:r>
        <w:rPr>
          <w:b/>
        </w:rPr>
        <w:t>E. 5.5</w:t>
      </w:r>
    </w:p>
    <w:p>
      <w:r>
        <w:t>In Bezug auf die wirtschaftlichen Verhältnisse der Eltern des Gastge- bers ist den Akten zu entnehmen, dass sie in dieser Hinsicht über eine ge- sicherte Existenz in ihrer Heimat verfügen. Für wirtschaftlich privilegierte Verhältnisse sprechen vor allem die Unterlagen, welche im Rahmen des Beschwerdeverfahrens eingereicht wurden. Daraus geht hervor, dass der Beschwerdeführer 1 Eigentümer von fünf Immobilien ist. Sie befinden sich alle in der Hauptstadt der gleichnamigen (…) Provinz X._______. Auf einer der Liegenschaften stehen zwei fünfstöckige Betongebäude (noch nicht zur Nutzung stehende Baueinheit), eine zweite Liegenschaft soll für ein Gewerbeobjekt bestimmt sein. Bei den übrigen Immobilien handelt sich um unbebaute Grundstücke. Die Angaben des Eigentümers sind durch fünf Auszüge aus dem Grundbuch belegt (vgl. BVGer act. 1, Beschwerdebeila- gen 7a-7e, Übersetzungen unter Beschwerdebeilagen 19a-19d). Wohl wurde der Südosten der Türkei im Februar 2023 von einem schweren Erd- beben heimgesucht. Die Stadt Y._______, die nicht im Epizentrum des Erd- bebens lag, ist gemäss Medienberichten allerdings relativ glimpflich davon- gekommen (vgl. etwa Berichte, Karten und Grafiken unter www.nzz.ch/the- men/Erdbeben, www.spiegel.de/ausland/erdbeben-in-der-tuerkei-und-sy- rien-ein-beben-so-gross-wie-deutschland-karten-und-grafiken oder tur- key.fes.de/e/erdbebenkatastrophe-im-suedosten-der-tuerkei, alle abgeru- fen im April 2024). Gemäss zwei nachgereichten Kontoauszügen verfügte der Beschwerdeführer 1 per Ende September 2023 sodann über ein Gut- haben von umgerechnet € 18’783.90. Die Herkunft der Ein- und Auszah- lungen ist auf den entsprechenden Belegen für die Zeitspanne ab Januar 2023 ersichtlich und enthält keine Auffälligkeiten (siehe Beschwerdebeila- gen 14/1 und 14/2). Ausserdem fährt er ein Fahrzeug der Marke Z._______ (Beschwerdebeilagen 8 und 20). Insoweit darf angenommen werden, dass die eingeladenen Personen durch das genannte Naturereignis nicht ihrer Lebensgrundlagen beraubt wurden. Die Vorinstanz liess hierzu in der Ver- nehmlassung lediglich verlauten, die Einkommens- und Vermögenswerte vermöchten die «Zweifel an der illegalen Migration» nicht aus dem Weg zu räumen, ohne konkret zu einzelnen Dokumenten oder zum Faktor Erdbe- ben Stellung zu nehmen (BVGer act. 7). Auch das Generalkonsulat in Is- tanbul sah sich hierzu nicht veranlasst. Hinzu kommt, dass der</w:t>
      </w:r>
    </w:p>
    <w:p>
      <w:r>
        <w:t>F-4962/2023 Seite 9 Beschwerdeführer 1 das Amt des (…) innehat und (…) ist (Beschwerde- beilagen 9, 10 und 23). Aufgrund dessen ist davon auszugehen, dass sich die wirtschaftliche Situation auf Seiten der Eltern des Gastgebers für türki- sche Verhältnisse über dem Durchschnitt bewegt. Überdies ist insbeson- dere der Beschwerdeführer 1 offenkundig gesellschaftlich aktiv und mit sei- nem Wohnort verbunden; er und seine Ehefrau sind mithin im Stande, in ihrer Herkunftsregion ein eigenständiges, selbstbestimmtes Leben zu füh- ren. Es handelt sich um Begebenheiten, welche geeignet sind, das Risiko einer nicht fristgerechten Wiederausreise nach einem Besuchsaufenthalt in der Schweiz entscheidend herabzusetzen.</w:t>
      </w:r>
    </w:p>
    <w:p>
      <w:r>
        <w:rPr>
          <w:b/>
        </w:rPr>
        <w:t>E. 5.6</w:t>
      </w:r>
    </w:p>
    <w:p>
      <w:r>
        <w:t>Was die wirtschaftlichen Verhältnisse der Beschwerdeführerin 3 anbe- langt, so ist aktenmässig erstellt, dass sie seit dreizehn Jahren als (…) tätig ist und – inklusive (…) – ein monatliches Einkommen von TL 20'799.– er- zielt (umgerechnet zirka Fr. 690.–). Dies entspricht in etwa dem Doppelten des Medianeinkommens in der Türkei (vgl. hierzu Beschwerdebeilagen 2, 3 und 16). Des Weiteren ist sie Eigentümerin von Bauland mit einer Fläche von 1'000.50 Quadratmetern (siehe Grundbuchauszug, unter Beschwer- debeilagen 4 und 17), weist auf ihrem Bankkonto ein Guthaben von umge- rechnet Fr. 8’000.– aus (Stand anfangs Oktober 2023 gemäss Beschwer- debeilage 13) und besitzt einen Mittelklassewagen (Beschwerdebeilagen</w:t>
      </w:r>
    </w:p>
    <w:p>
      <w:r>
        <w:rPr>
          <w:b/>
        </w:rPr>
        <w:t>E. 5.7</w:t>
      </w:r>
    </w:p>
    <w:p>
      <w:r>
        <w:t>Zu beachten gilt es sodann die früher bewilligten Einreisen. Bezogen auf die Beschwerdeführerin 2 räumte das SEM in der angefochtenen Ver- fügung in diesem Zusammenhang zwar ein, dass sie bereits einmal im Be- sitze eines Visums gewesen sei, hielt aber dagegen, dass sie damals al- leine gereist sei. Diese Annahmen erweisen sich in zweifacher Hinsicht als unzutreffend. Aktenkundig ist nämlich, dass die Beschwerdeführerin 2 in den Jahren 2010 (vom 19. August bis 18. September), 2016 (vom 5. März bis 18. April) sowie 2022 (vom 14. Mai bis 27. Juni) in der Schweiz weilte und jeweils innerhalb der Gültigkeitsdauer der erteilten Visa wieder aus- reiste (vgl. SEM act. 3/296, 3/299 und 3/304). Ebenfalls unrichtig ist die</w:t>
      </w:r>
    </w:p>
    <w:p>
      <w:r>
        <w:t>F-4962/2023 Seite 10 vorinstanzliche Feststellung, wonach die Mutter des Gastgebers alleine in die Schweiz reiste. Jedenfalls im Jahr 2016 war sie nachweislich mit ihrem Ehemann (dem Beschwerdeführer 1) unterwegs, wobei das Ehepaar frist- gerecht und anstandslos in die Türkei zurückkehrte (vgl. SEM act. 1/112 und 1/137). Sollte das Ziel des Beschwerdeführers 1 und der Beschwerde- führerin 2 in einem dauerhaften Aufenthalt in der Schweiz oder im Schen- genraum bestehen, hätten sie in der Vergangenheit hinreichend Gelegen- heit gehabt, dies mit entsprechenden Vorkehren umzusetzen, was nicht geschah. Bezogen auf das bisherige Verhalten der Eltern des Gastgebers spricht somit nichts gegen eine termingerechte Wiederausreise. Die Be- schwerdeführerin 3 hielt sich hingegen noch nie besuchshalber im Schen- gen-Raum auf (siehe aber E. 5.6 weiter vorne). Die negativen Einschätzungen der Schweizer Vertretung in Istanbul wiede- rum beruhen, soweit überhaupt konkret auf die Einzelfälle Bezug neh- mend, auf falschen Annahmen. So weilte auch der Beschwerdeführer 1, entgegen den Angaben in den dazugehörigen Aktennotizen (SEM act. 3/257, 3/291 und 3/327), wie eben dargetan, bereits einmal besuchshalber in der Schweiz. Zudem trifft nicht zu, dass eine frühere Einsprache nicht gutgeheissen wurde, im Gegenteil hat man der Beschwerdeführerin 2 den Besuchsaufenthalt im Frühjahr 2022 auf Einsprache hin bewilligt (vgl. SEM act. 1/214-242). Auch hierbei handelt es sich um Faktoren, welche die Ge- fahr einer Emigration mindern.</w:t>
      </w:r>
    </w:p>
    <w:p>
      <w:r>
        <w:rPr>
          <w:b/>
        </w:rPr>
        <w:t>E. 5.8</w:t>
      </w:r>
    </w:p>
    <w:p>
      <w:r>
        <w:t>Im Weiteren hat der Gastgeber im Verlaufe der kantonalen Abklärun- gen Garantieerklärungen über Fr. 30'000.– pro Person abgegeben (SEM act. 9/386, 9/391 und 9/392), wobei aufgrund der Akten davon auszugehen ist, dass er diese zumindest für eine Person ohne weiteres zu leisten ver- mag (SEM act. 9/387-390, ferner Beschwerdebeilagen 12 und 15). Vor die- sem Hintergrund fragt sich, ob dem Risiko einer nicht fristgerechten Wie- derausreise der Beschwerdeführenden und den in diesem Fall entstehen- den hohen Aufenthalts-, Betreuungs- und Rückreisekosten vorliegend mit der Auferlegung einer Kaution Rechnung getragen werden kann (vgl. Art. 6 Abs. 3 SGK i.V.m. Art. 5 Abs. 1 Bst. b AIG; vgl. auch Art. 6 Abs. 3 AIG [vgl. hierzu und zum Folgenden BVGE 2019 VII/1 E. 9.2; 2018 VII/6 E. 8.3]). Die vorgängige Hinterlegung einer Kaution soll im Einklang mit Art. 5 Abs. 2 AIG und Art. 6 Abs. 1 Bst. c sowie Abs. 3 SGK (s. auch Anhang I) ebenfalls dazu dienen, Gewähr für die sichere Wiederausreise bei Ablauf des Visums zu bieten (vgl. Urteile des BVGer F-4590/2021 vom 2. Dezember 2022 E. 5.7; F-2075/2020 vom 26. November 2020 E. 7.1; F-692/2018 vom 30. Januar 2020 E. 7.4). Derweil der Beschwerdeführer 1 und die</w:t>
      </w:r>
    </w:p>
    <w:p>
      <w:r>
        <w:t>F-4962/2023 Seite 11 Beschwerdeführerin 2 ihr ausländerrechtlich konformes Verhalten anläss- lich ihrer bisherigen Besuchsaufenthalte hierzulande mehrfach unter Be- weis gestellt haben, erhielt die Beschwerdeführerin 3 hierzu noch keine Gelegenheit, weshalb sich in ihrem Fall ein Vorgehen im beschriebenen Sinne rechtfertigt. Im Kontext der dargelegten, vergleichsweise günstigen wirtschaftlichen und gesellschaftlichen Verhältnisse auf Seiten aller Be- schwerdeführenden sowie angesichts der Bereitschaft des Gastgebers, für allfällig entstehende Aufenthalts-, Betreuungs- und Rückreisekosten finan- ziell einzustehen und nötigenfalls als Sicherheit eine Kaution zu hinterle- gen, erscheint die Prognose für eine anstandslose Wiederausreise auch in Bezug auf die Beschwerdeführerin 3 vertretbar und die vorliegende Kons- tellation als insgesamt vergleichbar mit anderen Entscheiden, in denen das Bundesverwaltungsgericht die Visumserteilung unter der Bedingung einer Kautionszahlung als möglich erkannte (vgl. etwa Urteile des BVGer F-3040/2023 vom 12. Oktober 2023 E. 5.9 oder F-4590/2021 vom 2. De- zember 2022 E. 5.7, je m.H.). Somit sind den Beschwerdeführenden 1-3 die beantragten Visa unter der Auflage zu erteilen, dass für die Gewähr der Wiederausreise der Beschwerdeführerin 3 eine Kaution im Betrag von Fr. 30'000.– beim zuständigen kantonalen Migrationsamt bzw. auf ein von letzterer Behörde bezeichnetes Bankkonto (Bankgarantie) in der Schweiz zu hinterlegen ist (vgl. Art. 6 Abs. 3 AIG i.V.m. Art 15 Abs. 5 [analog] und Art. 18 VEV).</w:t>
      </w:r>
    </w:p>
    <w:p>
      <w:r>
        <w:rPr>
          <w:b/>
        </w:rPr>
        <w:t>E. 6</w:t>
      </w:r>
    </w:p>
    <w:p>
      <w:r>
        <w:t>Zusammenfassend ist somit festzuhalten, dass den Beschwerdeführenden 1-3 die Erteilung der Visa nicht mit der Begründung verweigert werden kann, die Wiederausreise erscheine nicht als hinreichend gesichert. Daran ändert nichts, dass das Risiko für eine Missachtung ausländerrechtlicher Normen naturgemäss nie gänzlich ausgeschlossen werden kann. Die Be- schwerde ist daher gutzuheissen, die angefochtene Verfügung aufzuheben und die Sache zu neuer Beurteilung an die Vorinstanz zurückzuweisen. Dabei bleibt dem SEM zu prüfen, ob die übrigen Voraussetzungen für die Erteilung der beantragten Visa erfüllt sind (vgl. E. 4), beziehungsweise, ob die Kautionszahlung geleistet wurde.</w:t>
      </w:r>
    </w:p>
    <w:p>
      <w:r>
        <w:rPr>
          <w:b/>
        </w:rPr>
        <w:t>E. 7.1</w:t>
      </w:r>
    </w:p>
    <w:p>
      <w:r>
        <w:t>Bei diesem Verfahrensausgang sind keine Kosten aufzuerlegen (vgl. Art. 63 Abs. 1 und 2 VwVG). Den anwaltlich vertretenen Beschwerdefüh- renden ist angesichts ihres Obsiegens gestützt auf Art. 64 Abs. 1 VwVG i.V.m. Art 7 ff. des Reglements vom 21. Februar 2008 über die Kosten und Entschädigungen vor dem Bundesverwaltungsgericht (VGKE, SR</w:t>
      </w:r>
    </w:p>
    <w:p>
      <w:r>
        <w:t>F-4962/2023 Seite 12 173.320.2) zu Lasten der Vorinstanz eine angemessene Parteientschädi- gung zuzusprechen.</w:t>
      </w:r>
    </w:p>
    <w:p>
      <w:r>
        <w:rPr>
          <w:b/>
        </w:rPr>
        <w:t>E. 7.2</w:t>
      </w:r>
    </w:p>
    <w:p>
      <w:r>
        <w:t>Das Gericht setzt die Entschädigung unter Berücksichtigung der Kos- tennote fest. Wird – wie vorliegend – keine solche eingereicht, so setzt das Gericht die Entschädigung aufgrund der Akten fest (Art. 14 Abs. 2 VGKE). In Berücksichtigung der Notwendigkeit der Eingaben, der Schwierigkeit der Streitsache in rechtlicher und tatsächlicher Hinsicht sowie der Bandbreite ausgerichteter Entschädigungen ist das Honorar nach Massgabe der ein- schlägigen Bestimmungen auf total Fr. 1’800.– (inkl. Auslagen) festzuset- zen.</w:t>
      </w:r>
    </w:p>
    <w:p>
      <w:r>
        <w:t>(Dispositiv nächste Seite)</w:t>
      </w:r>
    </w:p>
    <w:p>
      <w:r>
        <w:t>F-4962/2023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