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F-4955/2020 vom 15. Oktober 2020</w:t>
      </w:r>
    </w:p>
    <w:p>
      <w:r>
        <w:t>Bundesverwaltungsgericht, 2020-10-15, DE</w:t>
      </w:r>
    </w:p>
    <w:p>
      <w:r>
        <w:rPr>
          <w:b/>
        </w:rPr>
        <w:t xml:space="preserve">Quelle: </w:t>
      </w:r>
      <w:r>
        <w:t>https://mcp.opencaselaw.ch/entscheid/bvger_F-4955_2020</w:t>
      </w:r>
    </w:p>
    <w:p>
      <w:r>
        <w:t>FR: TAF F-4955/2020 du 15 octobre 2020</w:t>
      </w:r>
    </w:p>
    <w:p>
      <w:r>
        <w:t>IT: TAF F-4955/2020 del 15 ottobre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bestimmt werden, wird der die Zuständigkeit prüfende Mitgliedstaat zuständig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Beschwerdeführerin mit der «Eurodac»-Datenbank ergab, dass diese am 12. Dezember 2019 in Frankreich ein Asylgesuch eingereicht hatte. Die Vorinstanz ersuchte deshalb die französischen Behörden am 23. September 2020 um Wiederaufnahme der Beschwerdeführenden gestützt auf Art. 23 Dublin-III-VO. Diese stimmten dem Gesuch am 27. September 2020 zu. Die Beschwerdeführerin bestreitet nicht, in Frankreich ein Asylgesuch eingereicht zu haben, und auch die grundsätzliche Zuständigkeit dieses Mitgliedstaates blieb unbestritten.</w:t>
      </w:r>
    </w:p>
    <w:p>
      <w:r>
        <w:rPr>
          <w:b/>
        </w:rPr>
        <w:t>E. 5.2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Auf Beschwerdeebene macht die Beschwerdeführerin geltend, die Lebensbedingungen in der Asylunterkunft in Frankreich seien von Gewalt geprägt und für ein Kleinkind nicht zumutbar gewesen. Bei einer allfälligen Rückkehr sei eine erneute Beherbergung sodann nicht gesichert. Sie fürchte sich zudem vor einer Verfolgung durch ihren in Frankreich lebenden Schwager, da sie nach dem Tod ihres Ehemannes eine neue Beziehung eingegangen sei.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Der Beschwerdeführerin steht es sodann offen, sich bei Problemen mit anderen Personen an die französischen Behörden zu wenden. Unter diesen Umständen ist die Anwendung von Art. 3 Abs. 2 Dublin-III-VO nicht gerechtfertigt.</w:t>
      </w:r>
    </w:p>
    <w:p>
      <w:r>
        <w:rPr>
          <w:b/>
        </w:rPr>
        <w:t>E. 5.3</w:t>
      </w:r>
    </w:p>
    <w:p>
      <w:r>
        <w:t>Die Beschwerdeführerin macht weiter geltend, ihr Asylantrag sei in Frankreich ohne Begründung und Rechtsmittelbelehrung abgewiesen worden und sie und ihr Sohn würden in ihren Heimatstaat ausgeschafft werden. Eine Rückweisung nach Frankreich stelle damit eine Verletzung des Non-Refoulement-Prinzips dar. Weiter verletze eine Überstellung nach Frankreich ihr Recht auf Achtung des Familienlebens gemäss Art. 8 EMRK, da sich ihre Mutter und Schwester in der Schweiz befinden würden. Die Mutter sei psychisch angeschlagen, weshalb sie auf die Unterstützung der Beschwerdeführerin angewiesen sei und eine erneute Trennung der Familie nicht verkraften würde. Bei der Beschwerdeführerin selbst habe die Flucht zu einer psychischen Belastung geführt. Damit fordern die Beschwerdeführenden die Anwendung der Ermessensklausel von Art. 17 Abs. 1 Dublin-III-VO, respektive der - das Selbsteintrittsrecht im Landesrecht konkretisierenden - Bestimmung von Art. 29a Abs. 3 der Asylverordnung 1 vom 11. August 1999 (AsylV 1, SR 142.311), gemäss welcher das SEM ein Asylgesuch "aus humanitären Gründen" auch dann behandeln kann, wenn dafür gemäss Dublin-III-VO ein anderer Staat zuständig wäre.</w:t>
      </w:r>
    </w:p>
    <w:p>
      <w:r>
        <w:rPr>
          <w:b/>
        </w:rPr>
        <w:t>E. 5.3.1</w:t>
      </w:r>
    </w:p>
    <w:p>
      <w:r>
        <w:t>Die Beschwerdeführenden haben kein konkretes und ernsthaftes Risiko dargetan, die französischen Behörden würden sich weigern, sie wiederaufzunehmen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Frankreich seien derart schlecht, dass sie zu einer Verletzung von Art. 4 der EU-Grundrechtecharta, Art. 3 EMRK oder Art. 3 FoK führen könnten. Frankreich hat der Rückübernahme der Beschwerdeführenden vorliegend gestützt auf Art. 18 Abs. 1 Bst. b Dublin-III-VO zugestimmt, weshalb entgegen der Ansicht der Beschwerdeführenden über ihr Asylgesuch noch nicht rechtskräftig befunden wurde. Der Vollständigkeit halber ist festzuhalten, dass auch ein definitiver Entscheid über ein Asylgesuch und die Wegweisung in das Heimatland nicht per se eine Verletzung des Non-Refoulement-Prinzips darstellen würden. Das Prinzip der Überprüfung eines Asylgesuchs durch einen einzigen Mitgliedstaat ("one chance only") dient im Gegenteil der Vermeidung von multiplen Asylgesuchen in verschiedenen Staaten (sogenanntes "asylum shopping"; vgl. BVGE 2017 VI/5 E. 8.5.3.3). Die geltend gemachten psychischen Probleme sind nicht belegt, weshalb darauf nicht näher einzugehen ist.</w:t>
      </w:r>
    </w:p>
    <w:p>
      <w:r>
        <w:rPr>
          <w:b/>
        </w:rPr>
        <w:t>E. 5.3.2</w:t>
      </w:r>
    </w:p>
    <w:p>
      <w:r>
        <w:t>Auf den Schutz von Art. 8 EMRK können sich zunächst Mitglieder der Kernfamilie, mithin die Ehegatten und die minderjährigen Kinder, berufen. Über diesen engen Kern hinausgehende verwandtschaftliche Banden fallen nur dann unter den Schutz der Einheit der Familie, sofern eine genügend nahe, echte und tatsächlich gelebte Beziehung vorliegt. Hinweise für eine solche Beziehung sind das Zusammenleben in einem gemeinsamen Haushalt, eine finanzielle Abhängigkeit, speziell enge familiäre Bande, regelmässige Kontakte oder die Übernahme von Verantwortung für eine andere Person (vgl. BGE 135 I 143 E. 3.1 m.w.H.). Bei der Mutter und der Schwester der Beschwerdeführerin handelt es sich nicht um Mitglieder der Kernfamilie. Die Beschwerdeführenden begründen sodann das geltend gemachte Abhängigkeitsverhältnis nicht weiter, weshalb Art. 8 EMRK nicht angerufen werden kann.</w:t>
      </w:r>
    </w:p>
    <w:p>
      <w:r>
        <w:rPr>
          <w:b/>
        </w:rPr>
        <w:t>E. 5.3.3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5.4</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Die Vorinstanz ist demnach zu Recht in Anwendung von Art. 31a Abs. 1 Bst. b AsylG auf die Asylgesuche der Beschwerdeführenden nicht eingetreten. Das sie nicht im Besitz einer gültigen Aufenthalts- oder Niederlassungsbewilligung sind, wurde die Überstellung nach Frankreich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Das Beschwerdeverfahren ist mit vorliegendem Urteil abgeschlossen, weshalb sich der Antrag auf Gewährung der aufschiebenden Wirkung als gegenstandslos erweist.</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Rechtspflege (vgl. Art. 65 Abs. 1 VwVG) ist unbesehen der finanziellen Verhältnisse der Beschwerdeführenden abzuweisen, da die Beschwerde gemäss den vorstehenden Erwägungen als aussichtslos zu bezeichnen ist und es daher an einer gesetzlichen Grundlage zu deren Gewährung fehlt.</w:t>
      </w:r>
    </w:p>
    <w:p>
      <w:r>
        <w:rPr>
          <w:b/>
        </w:rPr>
        <w:t>E. 10</w:t>
      </w:r>
    </w:p>
    <w:p>
      <w:r>
        <w:t>Mit dem vorliegenden Urteil fällt der am 7. Oktober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