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F-4949/2024 vom 12. August 2024</w:t>
      </w:r>
    </w:p>
    <w:p>
      <w:r>
        <w:t>Bundesverwaltungsgericht, 2024-08-12, DE</w:t>
      </w:r>
    </w:p>
    <w:p>
      <w:r>
        <w:rPr>
          <w:b/>
        </w:rPr>
        <w:t xml:space="preserve">Quelle: </w:t>
      </w:r>
      <w:r>
        <w:t>https://mcp.opencaselaw.ch/entscheid/bvger_F-4949_2024</w:t>
      </w:r>
    </w:p>
    <w:p>
      <w:r>
        <w:t>FR: TAF F-4949/2024 du 12 août 2024</w:t>
      </w:r>
    </w:p>
    <w:p>
      <w:r>
        <w:t>IT: TAF F-4949/2024 del 12 agosto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Italien für die Behandlung des Asylgesuchs der Beschwerdeführers zuständig ist, dass das italienische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des Beschwerdeführers in Hinblick auf seinen sich ebenfalls in der Schweiz befindlichen Cousin, die von ihm in Italien erlebten gewaltsamen Auseinandersetzungen unter Dritten sowie seine gesundheitlichen Beeinträchtigungen (schmerzende Füsse und schlechter Schlaf)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Italien angeordnet. Zur näheren Begründung wird auf die korrekten vorinstanzlichen Erwägungen verwiesen.</w:t>
      </w:r>
    </w:p>
    <w:p>
      <w:r>
        <w:rPr>
          <w:b/>
        </w:rPr>
        <w:t>E. 2.2</w:t>
      </w:r>
    </w:p>
    <w:p>
      <w:r>
        <w:t>Was der Beschwerdeführer auf Rechtsmittelebene vorbringt, vermag daran nichts zu ändern. Namentlich seine unsubstantiierte Behauptung, in Italien nicht leben zu können und dort Probleme zu haben, ist nicht geeignet, die angefochtene Verfügung rechtlich in Zweifel zu ziehen.</w:t>
      </w:r>
    </w:p>
    <w:p>
      <w:r>
        <w:rPr>
          <w:b/>
        </w:rPr>
        <w:t>E. 3</w:t>
      </w:r>
    </w:p>
    <w:p>
      <w:r>
        <w:t>Nach dem Gesagten ist die angefochtene Verfügung vom 5. August 2024 nicht zu beanstanden und die Beschwerde ist abzuweisen.</w:t>
      </w:r>
    </w:p>
    <w:p>
      <w:r>
        <w:rPr>
          <w:b/>
        </w:rPr>
        <w:t>E. 4</w:t>
      </w:r>
    </w:p>
    <w:p>
      <w:r>
        <w:t>Mit vorliegendem Urteil wird der Antrag auf Gewährung der aufschiebenden Wirkung gegenstandslos und der am 8. August 2024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