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F-4946/2019 vom 6. Mai 2020</w:t>
      </w:r>
    </w:p>
    <w:p>
      <w:r>
        <w:t>Bundesverwaltungsgericht, 2020-05-06, FR</w:t>
      </w:r>
    </w:p>
    <w:p>
      <w:r>
        <w:rPr>
          <w:b/>
        </w:rPr>
        <w:t xml:space="preserve">Quelle: </w:t>
      </w:r>
      <w:r>
        <w:t>https://mcp.opencaselaw.ch/entscheid/bvger_F-4946_2019</w:t>
      </w:r>
    </w:p>
    <w:p>
      <w:r>
        <w:t>FR: TAF F-4946/2019 du 6 mai 2020</w:t>
      </w:r>
    </w:p>
    <w:p>
      <w:r>
        <w:t>IT: TAF F-4946/2019 del 6 maggio 2020</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dans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3.2</w:t>
      </w:r>
    </w:p>
    <w:p>
      <w:r>
        <w:t>L'interdiction d'entrée au sens du droit des étrangers vise à empêcher l'entrée ou le retour d'un étranger dont le séjour en Suisse (respectivement dans l'Espace Schengen) est indésirable (cf. arrêt du TF 6B_173/2013 du 19 août 2013 consid. 2.3 ; ATAF 2017 VII/2 consid. 4.1).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3.3</w:t>
      </w:r>
    </w:p>
    <w:p>
      <w:r>
        <w:t>Enfin, 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ATAF 2017 VII/2 consid. 4.5). Elle doit également respecter le principe de l'égalité de traitement et s'interdire tout arbitraire (voir notamment arrêts du TAF F-1519/2017 du 10 avril 2019 consid. 9.1 et F-1061/2018 du 11 mars 2019 consid. 6.1).</w:t>
      </w:r>
    </w:p>
    <w:p>
      <w:r>
        <w:rPr>
          <w:b/>
        </w:rPr>
        <w:t>E. 4.1</w:t>
      </w:r>
    </w:p>
    <w:p>
      <w:r>
        <w:t>Dans un premier temps, il convient d'examiner si le prononcé d'une interdiction d'entrée à l'endroit du recourant est justifié dans son principe.</w:t>
      </w:r>
    </w:p>
    <w:p>
      <w:r>
        <w:rPr>
          <w:b/>
        </w:rPr>
        <w:t>E. 4.2</w:t>
      </w:r>
    </w:p>
    <w:p>
      <w:r>
        <w:t>En l'occurrence, l'autorité inférieure a prononcé une décision d'interdiction d'entrée en Suisse d'une durée de trois ans à l'encontre du recourant fondée sur le fait, d'une part, qu'il séjournait illégalement dans l'Espace Schengen et en Suisse en particulier, suite au non-renouvellement de son autorisation de séjour par le SpoMi, en date du 18 juin 2018 et, d'autre part, que diverses condamnations avaient été prononcées à son encontre. Dans son mémoire de recours, l'intéressé a considéré que le prononcé du 20 août 2019 n'était pas justifié. Ainsi, il a relevé que les condamnations retenues par le SEM à son encontre remontaient à plus de deux ans au moment où il a rendu sa décision et avaient de surcroît été prononcées par le Tribunal des mineurs. Par ailleurs, les infractions sanctionnées devaient être considérées comme étant de peu de gravité. De plus, depuis sa majorité, il n'avait plus été condamné, ayant pris conscience de ses erreurs de jeunesse. Quant au fait que le SpoMi avait refusé de renouveler son autorisation de séjour, l'intéressé a observé que cette autorité avait essentiellement motivé sa décision par un manquement à son devoir de collaboration et qu'il y avait remédié, en prenant contact avec celle-ci. Sous un autre angle, il a mis en avant la durée de son séjour en Suisse, le fait qu'il y disposait d'un large réseau social et qu'il pouvait compter sur ses anciens employeurs. S'agissant de l'inscription de la mesure d'éloignement au SIS II, il a considéré que celle-ci était disproportionnée dès lors qu'il se voyait désormais empêché de rendre visite aux membres de sa famille établis en Allemagne ainsi qu'en France, à moins de disposer d'un sauf-conduit. Or, à son avis, une telle mesure administrative serait par trop invasive.</w:t>
      </w:r>
    </w:p>
    <w:p>
      <w:r>
        <w:rPr>
          <w:b/>
        </w:rPr>
        <w:t>E. 4.3</w:t>
      </w:r>
    </w:p>
    <w:p>
      <w:r>
        <w:t>D'emblée, le Tribunal rappelle qu'il existe deux régimes juridiques différents concernant le prononcé des interdictions d'entrée, selon que l'intéressé est ressortissant d'un Etat de l'Union européenne (UE) ou d'un Etat tiers. En l'occurrence, le recourant est un ressortissant du Cameroun, soit originaire d'un Etat tiers, de sorte que le prononcé querellé s'examine à l'aune de la LEI, les dispositions de l'ALCP relatives à la libre circulation des personnes n'étant pas applicables au cas d'espèce. Or,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4.4</w:t>
      </w:r>
    </w:p>
    <w:p>
      <w:r>
        <w:t>Dans le cas présent, le Tribunal observe que si les deux condamnations retenues par le SEM ont certes été prononcées par le Tribunal des mineurs et remontaient à plus de deux ans au moment où le SEM a rendu sa décision, il n'en demeure pas moins que l'intéressé a, de par son comportement répréhensible, attenté à la sécurité et à l'ordre publics en Suisse. A cela s'ajoute le fait que,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les arrêts du TAF F-4044/2018 du 4 juin 2020 consid. 7.2.4 et F-2293/2017 du 27 avril 2018 consid. 5.1). Il est ainsi indéniable que l'intéressé remplit les conditions d'application de l'art. 67 al. 2 let. a LEI.</w:t>
      </w:r>
    </w:p>
    <w:p>
      <w:r>
        <w:rPr>
          <w:b/>
        </w:rPr>
        <w:t>E. 4.5</w:t>
      </w:r>
    </w:p>
    <w:p>
      <w:r>
        <w:t>Le fait que l'intéressé puisse se prévaloir de l'existences de liens familiaux en Suisse ne saurait conduire à un résultat différent. Un étranger peut en effet, selon les circonstances, se prévaloir du droit au respect de sa vie privée et familiale au sens de l'art. 8 § 1 CEDH (RS 0.101),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une personne de nationalité suisse, ou détentrice d'une autorisation d'établissement ou d'une autorisation de séjour à la délivrance de laquelle la législation suisse confère un droit certain (arrêt du TF 2C_233/2014 du 18 juillet 2014 consid. 4.1 ; ATF 135 I 153 consid. 2.1, 135 I 143 consid. 1.3.1, 130 II 281 consid. 3.1). Les relations visées à l'art. 8 CEDH sont avant tout celles qui existent entre époux, ainsi que les relations entre parents et enfants mineurs vivant en ménage commun, autrement dit la famille nucléaire (ATF 135 I 143 consid. 1.3.2 et 129 II 11 consid. 2). En l'espèce, force est de constater que les seuls liens familiaux dont l'intéressé aurait pu se prévaloir sont ceux qu'il a entretenus avec son père. Or, 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Force est de constater que tel n'est pas le cas.</w:t>
      </w:r>
    </w:p>
    <w:p>
      <w:r>
        <w:rPr>
          <w:b/>
        </w:rPr>
        <w:t>E. 4.6</w:t>
      </w:r>
    </w:p>
    <w:p>
      <w:r>
        <w:t>Au vu de ce qui précède, il apparait que le SEM a retenu à juste titre que le recourant avait porté atteinte à l'ordre et à la sécurité publics. Le prononcé d'une interdiction d'entrée en Suisse est ainsi pleinement justifié dans son principe.</w:t>
      </w:r>
    </w:p>
    <w:p>
      <w:r>
        <w:rPr>
          <w:b/>
        </w:rPr>
        <w:t>E. 5</w:t>
      </w:r>
    </w:p>
    <w:p>
      <w:r>
        <w:t>Il convient encore d'examiner si la mesure d'éloignement prise par l'autorité intimée satisfait aux principes de la proportionnalité.</w:t>
      </w:r>
    </w:p>
    <w:p>
      <w:r>
        <w:rPr>
          <w:b/>
        </w:rPr>
        <w:t>E. 5.1</w:t>
      </w:r>
    </w:p>
    <w:p>
      <w:r>
        <w:t>Toute mesure d'éloignement doit respecter le principe de la proportionnalité, qui s'impose tant en droit interne (cf. art. 5 al. 2 et 36 al. 3 Cst. ; art. 96 LEI) qu'au regard de la CEDH (cf. art. 8 par. 2 CEDH), lorsque la mesure étatique en cause constitue une ingérence dans l'exercice du droit à la protection de la vie familiale ou privée garanti par l'art. 8 par. 1 CEDH (cf. ATF 139 I 145 consid. 2.2).</w:t>
      </w:r>
    </w:p>
    <w:p>
      <w:r>
        <w:rPr>
          <w:b/>
        </w:rPr>
        <w:t>E. 5.1.1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 voir également ATF 136 IV 97 consid. 5.2.2 ; 135 I 176 consid. 8.1 ; 133 I 110 consid. 7.1]).</w:t>
      </w:r>
    </w:p>
    <w:p>
      <w:r>
        <w:rPr>
          <w:b/>
        </w:rPr>
        <w:t>E. 5.1.2</w:t>
      </w:r>
    </w:p>
    <w:p>
      <w:r>
        <w:t>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w:t>
      </w:r>
    </w:p>
    <w:p>
      <w:r>
        <w:rPr>
          <w:b/>
        </w:rPr>
        <w:t>E. 5.1.3</w:t>
      </w:r>
    </w:p>
    <w:p>
      <w:r>
        <w:t>S'agissant de la prise en compte de l'intérêt public à l'éloignement de l'intéressé, le Tribunal observe qu'à l'appui de sa décision, le SEM a relevé que l'intéressé avait fait l'objet de plusieurs condamnations, en retenant plus particulièrement deux, soit celle, prononcée en janvier 2015 et celle, prononcée en décembre 2016. Toutefois, ainsi que cela ressort de la décision de non-renouvellement de l'autorisation de séjour rendue par le SpoMi en date du 18 juin 2018, entre la période comprise entre 2010 et 2017, l'intéressé a été condamné à huit reprises pour notamment recel, vols, dommages à la propriété, faux dans les titres, contravention à la LStup, contravention à la LTP, etc. Par ailleurs, entre mars 2013 et octobre 2014, il a bénéficié de 5 ordonnances de classement, essentiellement dues au retrait de la plainte par la partie plaignante, suite à des procédures de conciliation. S'il est vrai que toutes ces infractions ont été commises respectivement dénoncées alors que l'intéressé était encore mineur et peuvent être qualifiées de délinquance juvénile, il apparaît cependant que l'intéressé, majeur depuis février 2017, n'a pas mis un terme à ses agissements illicites (cf. procédure ouverte à son encontre par le Ministère public du canton de Fribourg pour vol, tentative de vol, brigandage, dommage à la propriété, tentative d'utilisation frauduleuse d'un ordinateur, obtention frauduleuse d'une prestation, injures, menace, contrainte, violation de domicile, empêchement d'accomplir un acte officiel, faux dans les titres, délit contre la LEI et contravention à la Loi sur le transport de voyageurs, ensuite d'un rapport de dénonciation établi le 4 septembre 2019 ; lettre E ci-dessus). Certes, selon les documents joints à l'envoi du 12 mars 2021, l'intéressé a contesté avoir participé au délit de brigandage. Il a toutefois admis avoir commis un vol d'importance mineure (vol d'un parfum à l'étalage). En effet, lors de l'audition tenue le 26 août 2019 par-devant la gendarmerie de Fribourg, l'intéressé a déclaré : « (...) J'ai pris un parfum et je l'ai volé. Je l'admets » et, plus loin, « (...) Je ne sais pas pourquoi j'ai volé ce parfum. Je n'avais pas d'argent et j'en avais besoin ». A cela s'ajoute le fait qu'au moment où l'intéressé a quitté la Suisse, il ne pouvait justifier d'aucune formation susceptible de lui procurer un revenu, qu'il faisait l'objet de poursuites (pour un montant de 4'093,25 francs au (...)) ainsi que d'actes de défaut de biens (pour un montant de 7'652,25 francs au (...)). Aussi, dans ces circonstances, on ne saurait écarter un risque de commission de nouvelles infractions en cas de nouveau séjour en Suisse, voire de dépendance à l'aide sociale. Dans un tel contexte, il y a bien un intérêt public à tenir l'intéressé éloigné de Suisse et cet éloignement constitue une réponse adéquate.</w:t>
      </w:r>
    </w:p>
    <w:p>
      <w:r>
        <w:rPr>
          <w:b/>
        </w:rPr>
        <w:t>E. 5.1.4</w:t>
      </w:r>
    </w:p>
    <w:p>
      <w:r>
        <w:t>Quant aux intérêts privés avancés par l'intéressé, soit le fait qu'il a longuement séjourné en Suisse, où vit également son père, et qu'il y dispose d'un large réseau social, le Tribunal ne saurait leur accorder une importance prépondérante. En effet, même en cas de levée de la mesure d'interdiction d'entrée en Suisse, les prescriptions ordinaires en matière de droit des étrangers demeureraient opposables à l'intéressé (cf., dans le même sens, arrêt du TAF F-1279/2017 du 6 juillet 2018 consid. 8.3). En effet, le Tribunal rappelle que l'impossibilité pour le recourant de résider en Suisse ne résulte pas directement de la décision querellée, mais découle primairement de l'absence de toute autorisation de séjour. Or, bien que l'intéressé a été au bénéfice d'un titre de séjour, de mars 2007 à juin 2018, celui-ci a été révoqué en raison de son comportement.</w:t>
      </w:r>
    </w:p>
    <w:p>
      <w:r>
        <w:rPr>
          <w:b/>
        </w:rPr>
        <w:t>E. 5.2</w:t>
      </w:r>
    </w:p>
    <w:p>
      <w:r>
        <w:t>Partant, le Tribunal arrive à la conclusion que la mesure d'éloignement prise par l'autorité inférieure le 20 août 2019 est nécessaire et adéquate afin de prévenir toute nouvelle atteinte à la sécurité et à l'ordre publics en Suisse. En outre, la durée de la mesure respecte le principe de proportionnalité et correspond à celle prononcée dans des cas analogues (cf. notamment les arrêts du TAF F-6154/2018 du 11 février 2021 ; F-1084/2019 du 8 juin 2020 ; F-2905/2018 du 28 février 2019).</w:t>
      </w:r>
    </w:p>
    <w:p>
      <w:r>
        <w:rPr>
          <w:b/>
        </w:rPr>
        <w:t>E. 5.3</w:t>
      </w:r>
    </w:p>
    <w:p>
      <w:r>
        <w:t>Si des raisons humanitaires ou d'autres motifs importants le justifient, l'autorité appelée à statuer peut s'abstenir de prononcer une interdiction d'entrée ou suspendre provisoirement ou définitivement une interdiction d'entrée (art. 67 al. 5 LEI). La formulation ouverte de cette disposition inclut les hypothèses prévues par l'art. 11 al. 3 de la directive sur le retour concernant notamment la possibilité de lever, de suspendre, ou de renoncer à imposer une interdiction d'entrée à l'endroit des victimes et des témoins de la traite d'êtres humains, pour lesquels la LEI prévoit des règles particulières (cf. Message du Conseil fédéral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8058, et normes citées). Or, dans la pratique, une requête basée sur l'art. 67 al. 5 LEI n'est acceptée qu'à titre exceptionnel et pour des raisons importantes telles que l'assignation devant un tribunal, des motifs personnels importants, le décès d'un membre de la famille vivant en Suisse, la visite de membres de la famille proche à l'occasion de jours fériés ou d'événements familiaux importants ou des raisons humanitaires (cf. arrêt TAF F-6416/2018 du 21 mai 2019 consid. 6.4.1 et la réf. cit.). De telles raisons peuvent en effet conduire à l'octroi d'un sauf-conduit suspendant temporairement les effets d'une interdiction d'entrée à l'égard d'un individu.</w:t>
      </w:r>
    </w:p>
    <w:p>
      <w:r>
        <w:rPr>
          <w:b/>
        </w:rPr>
        <w:t>E. 5.4</w:t>
      </w:r>
    </w:p>
    <w:p>
      <w:r>
        <w:t>Dans le cas présent, il apparaît que l'intéressé a sollicité la suspension de la mesure d'éloignement prononcée à son encontre par requête respectivement du 7 et du 18 janvier 2021, afin de pouvoir comparaître personnellement devant le Ministère public du canton de Fribourg. Toutefois, par décision du 25 janvier 2021, le SEM a refusé de donner suite à cette demande, retenant qu'après reconsidération, le Ministère public du canton de Fribourg avait accepté la mise en place d'une audition de l'intéressé par visioconférence. L'intéressé a introduit en date du 25 février 2021 un recours contre cette décision, lequel est actuellement pendant devant le présent Tribunal dans une procédure indépendante (F-855/2021). Il n'y a donc pas lieu d'examiner ici plus en avant ce point.</w:t>
      </w:r>
    </w:p>
    <w:p>
      <w:r>
        <w:rPr>
          <w:b/>
        </w:rPr>
        <w:t>E. 6</w:t>
      </w:r>
    </w:p>
    <w:p>
      <w:r>
        <w:t>Le SEM a également ordonné l'inscription de l'interdiction d'entrée dans le SIS II. En raison de ce signalement, il est interdit au recourant de pénétrer dans l'Espace Schengen.</w:t>
      </w:r>
    </w:p>
    <w:p>
      <w:r>
        <w:rPr>
          <w:b/>
        </w:rPr>
        <w:t>E. 6.1</w:t>
      </w:r>
    </w:p>
    <w:p>
      <w:r>
        <w:t>Lorsqu'une décision d'interdiction d'entrée est prononcée - comme en l'espèce - à l'endroit d'une personne qui n'est ni un citoyen de l'UE, ni un ressortissant d'un pays tiers jouissant de droits de libre circulation équivalents en vertu d'accords conclus par ce pays avec la Communauté européenne (CE) et ses États membres (art. 3 let. d du règlement [CE]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w:t>
      </w:r>
    </w:p>
    <w:p>
      <w:r>
        <w:rPr>
          <w:b/>
        </w:rPr>
        <w:t>E. 6.2</w:t>
      </w:r>
    </w:p>
    <w:p>
      <w:r>
        <w:t>Le signalement dans le SIS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6.3</w:t>
      </w:r>
    </w:p>
    <w:p>
      <w:r>
        <w:t>En l'occurrence, ce signalement est entièrement justifié par les faits retenus et satisfait au principe de proportionnalité au vu des circonstances du cas d'espèce (art. 21 en relation avec l'art. 24 al. 2 du règlement SIS II). Il l'est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w:t>
      </w:r>
    </w:p>
    <w:p>
      <w:r>
        <w:rPr>
          <w:b/>
        </w:rPr>
        <w:t>E. 7.1</w:t>
      </w:r>
    </w:p>
    <w:p>
      <w:r>
        <w:t>Au vu de ce qui précède, l'autorité inférieure, en rendant sa décision du 20 août 2019, n'a ni violé le droit fédéral, ni constaté des faits pertinents de manière inexacte ou incomplète ; en outre, cette décision n'est pas inopportune (art. 49 PA). En conséquence, le recours est rejeté.</w:t>
      </w:r>
    </w:p>
    <w:p>
      <w:r>
        <w:rPr>
          <w:b/>
        </w:rPr>
        <w:t>E. 7.2</w:t>
      </w:r>
    </w:p>
    <w:p>
      <w:r>
        <w:t>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Par décision incidente du 21 novembre 2019, le Tribunal a mis le recourant au bénéfice de l'assistance judiciaire totale et a désigné Maître Jennifer Tapia en qualité d'avocate d'office pour la présente procédure, en application de l'art. 65 al. 1 et 2 PA. Aussi, il convient de dispenser le recourant du paiement des frais de procédure et d'allouer à son mandataire une indemnité à titre d'honoraires pour les frais indispensables et relativement élevés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Par courrier du 30 mars 2021, Maître Jennifer Tapia a fait parvenir au Tribunal une liste actualisée des opérations pour un montant de 1442,70 francs. En l'état, compte tenu du travail effectué, du tarif applicable en l'espèce et du degré de difficulté de la présente cause, il convient d'avaliser ce montant sans réserve. Le recourant a l'obligation de rembourser ce montant s'il revient à meilleure fortune (cf. art. 65 al. 4 PA). Enfin, aucun dépens ne sera mis à la charge de l'autorité intimée, le recourant n'ayant pas obtenu gain de cause (cf.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