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F-4923/2024 vom 4. Juli 2024</w:t>
      </w:r>
    </w:p>
    <w:p>
      <w:r>
        <w:t>Bundesverwaltungsgericht, 2024-07-04, DE</w:t>
      </w:r>
    </w:p>
    <w:p>
      <w:r>
        <w:rPr>
          <w:b/>
        </w:rPr>
        <w:t xml:space="preserve">Quelle: </w:t>
      </w:r>
      <w:r>
        <w:t>https://mcp.opencaselaw.ch/entscheid/bvger_F-4923_2024_d20240704</w:t>
      </w:r>
    </w:p>
    <w:p>
      <w:r>
        <w:t>FR: TAF F-4923/2024 du 4 juillet 2024</w:t>
      </w:r>
    </w:p>
    <w:p>
      <w:r>
        <w:t>IT: TAF F-4923/2024 del 4 luglio 2024</w:t>
      </w:r>
    </w:p>
    <w:p>
      <w:pPr>
        <w:pStyle w:val="Heading2"/>
      </w:pPr>
      <w:r>
        <w:t>Regeste</w:t>
      </w:r>
    </w:p>
    <w:p>
      <w:r>
        <w:t>Nichteintreten auf Asylgesuch und Wegweisung (Wiedererw&amp;auml;gung) | Nichteintreten auf Asylgesuch und Wegweisung (Wiedererwägung); Verfügung des SEM vom 4. Juli 2024</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daher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F-4923/2024 Seite 5</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Wird eine Überstellung nicht innerhalb der Frist von sechs Monaten seit Annahme des Aufnahmeersuchens durchgeführt, ist der zuständige Mit- gliedstaat (in casu Kroatien) nicht mehr zur Wiederaufnahme der asylsu- chenden Person verpflichtet und die Zuständigkeit geht auf den ersuchen- den Mitgliedstaat (in casu die Schweiz) über. Diese Frist kann auf höchs- tens 18 Monate verlängert werden, wenn die Person flüchtig ist (Art. 29 Abs. 2 Dublin-III-VO).</w:t>
      </w:r>
    </w:p>
    <w:p>
      <w:r>
        <w:rPr>
          <w:b/>
        </w:rPr>
        <w:t>E. 4.2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 verfahren sonst wie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D-894/2024 vom 20. Februar 2024; D-3831/2023 vom 4. Dezember 2023; D-4561/2023 vom 10. Oktober 2023 E. 6.2 und 7.3; E-5008/2021 vom 18. Januar 2022 E. 5.3; Urteil des EuGH vom 19. März 2019 C-163/17 Abubacarr Jawo/Bundesrepublik Deutschland Rn 70; ULRICH KOEHLER, Praxiskommentar zum Europäischen Asylzuständigkeitssystem, 2018, N 34 zu Artikel 29; CHRISTIAN FILZWIESER/ANDREA SPRUNG, Dublin III-Ver- ordnung, 2014, K12 zu Art. 29; ALBERTO ACHERMANN ET AL. [Hrsg.], Jahr- buch für Migrationsrecht 2022/2023, S. 273). Eine einmalige Handlung</w:t>
      </w:r>
    </w:p>
    <w:p>
      <w:r>
        <w:t>F-4923/2024 Seite 6 oder Untätigkeit genügt (vgl. Urteile des BVGer D-835/2023 vom 17. Feb- ruar 2023 und E-833/2023 vom 16. Februar 2023, je m.w.H.).</w:t>
      </w:r>
    </w:p>
    <w:p>
      <w:r>
        <w:rPr>
          <w:b/>
        </w:rPr>
        <w:t>E. 5.1</w:t>
      </w:r>
    </w:p>
    <w:p>
      <w:r>
        <w:t>Die Vorinstanz hielt in der angefochtenen Verfügung fest, der Be- schwerdeführer habe auf einem Toilettengang die Doppelverglasung eines Fensters durchschlagen und sich dabei tiefe Schnittwunden an Unterarm und Fingern zugezogen. Er sei ins Spital gebracht und dort operiert wor- den, weshalb sein Platz im Sonderflug habe storniert werden müssen. Mit seinem Verhalten, habe er sich gezielt der Überstellung nach Kroatien ent- ziehen wollen, was unter Art. 29 Abs. 2 Dublin-III-VO zu subsumieren sei. Um als «flüchtig» im Sinne von Art. 29 Abs. 2 Dublin-III-VO zu gelten, ge- nüge es, wenn die Person aus von ihr zu vertretenden Gründen, nicht auf- findbar sei oder das Überstellungsverfahren in anderer Weise absichtlich behindere beziehungsweise sie sich der Durchführung gezielt und bewusst entziehe, um die Überstellung zu vereiteln. Eine einmalige Handlung oder Untätigkeit genüge. Das bewusste Missachten behördlicher Weisungen, das renitente Verhalten des Beschwerdeführers und der Fluchtversuch seien erstreckungsrelevant im Sinne von Art. 29 Abs. 2 Dublin-III-VO.</w:t>
      </w:r>
    </w:p>
    <w:p>
      <w:r>
        <w:rPr>
          <w:b/>
        </w:rPr>
        <w:t>E. 5.2</w:t>
      </w:r>
    </w:p>
    <w:p>
      <w:r>
        <w:t>Der Beschwerdeführer macht geltend, die Polizei und das Migrations- amt hätten den Sachverhalt einseitig dargestellt. Er habe sich nicht gegen die Überstellung gewehrt. Er habe lediglich alleine seinen Stuhlgang ver- richten wollen, sei aber nicht alleine auf die Toilette gelassen worden, was ihn wütend gemacht habe. Er habe nicht fliehen wollen, sondern habe in dieser Stresssituation aus Wut zu fest gegen das Fenster geschlagen. Seine Hand sei darin stecken geblieben, was sehr schmerzhaft gewesen sei. Die Polizei sei dann zu ihm reingekommen und habe ihn mit Gewalt aus dem Fenster gerissen. Dadurch sei sein Arm aufgerissen worden und er habe versucht, sich gegen das Herausreissen der Polizei zu wehren. Die Wunden hätten nur wegen des Verhaltens der Polizei genäht werden müs- sen, dies könne ihm nicht angelastet werden. Er hätte niemals versucht, aus dem Fenster zu springen, sondern habe das Fenster aus Versehen zerbrochen. Da er nicht zum Vorfall befragt worden sei, habe die Vorinstanz den Sach- verhalt nicht korrekt erhoben. Zudem habe sie ihn nicht über die Verlänge- rung der Überstellungsfrist informiert und damit das rechtliche Gehör ver- letzt.</w:t>
      </w:r>
    </w:p>
    <w:p>
      <w:r>
        <w:rPr>
          <w:b/>
        </w:rPr>
        <w:t>E. 5.3</w:t>
      </w:r>
    </w:p>
    <w:p>
      <w:r>
        <w:t>Die zuständigen Vollzugsbehörden buchten für den 16. April 2024 ei- nen Flug von Zürich nach Zagreb, um den Beschwerdeführer nach</w:t>
      </w:r>
    </w:p>
    <w:p>
      <w:r>
        <w:t>F-4923/2024 Seite 7 Kroatien zu überstellen. Da sich dieser am selben Tag im Spital einer Ope- ration wegen tiefer Schnittwunden unterziehen musste, konnte er den Flug nicht antreten. Der Aktennotiz des beim Vorfall anwesenden Sachbearbei- ters des Migrationsamtes ist zu entnehmen, dass sich der Beschwerdefüh- rer beim Ausreisegespräch ruhig verhalten und noch etwas schlaftrunken gewirkt habe. Nachdem seine Kleider durchsucht und sein Gepäck bereit- gestellt worden seien, habe er um einen Toilettengang gebeten. Trotz den von den Sicherheitskräften getroffenen Vorsichtsmassnahmen, sei es dem Beschwerdeführer dabei gelungen, die Doppelverglasung des Toilettenfen- sters zu durschlagen, wobei er sich tiefe und stark blutende Schnittwunden an Unterarm und Fingern zugezogen habe. Er habe sich heftig gewehrt. Den Einsatzkräften sei es schliesslich gelungen den Verletzten unter Kon- trolle zu bringen und die starken Blutungen zu stoppen. Die Ambulanz habe ihn ins Kantonsspital verbracht, wo seine Wunden versorgt und der ver- letzte Unterarm operiert worden sei. Es ist unbestritten, dass ein Fenster zerbarst und der Beschwerdeführer sich starke Verletzungen zugezogen hat. Er räumt ein, dass er gegen das Fenster geschlagen hat. Es ist davon auszugehen, dass ein sehr starker Schlag mit hoher Wahrscheinlichkeit aber sogar mehrere Schläge notwen- dig waren, um eine Doppelverglasung mit der blossen Hand, zum Zerbers- ten zu bringen. Die Erklärung des Beschwerdeführers, er habe das Fenster aus Versehen zerschlagen, ist mithin als Schutzbehauptung zu beurteilen. Er erklärte bereits am 21. Februar 2023 gegenüber der Vorinstanz und er- neut am 9. Oktober 2023 beim Gespräch mit dem Migrationsamt, er habe von Anfang an in der Schweiz bleiben wollen. Dies ist ein zusätzlicher Hin- weis dafür, dass er mit seinem Verhalten eine Überstellung nach Kroatien unbedingt vermeiden wollte.</w:t>
      </w:r>
    </w:p>
    <w:p>
      <w:r>
        <w:rPr>
          <w:b/>
        </w:rPr>
        <w:t>E. 5.4</w:t>
      </w:r>
    </w:p>
    <w:p>
      <w:r>
        <w:t>Entscheidwesentlich ist, dass der Beschwerdeführer absichtlich gegen ein Fenster geschlagen und sich dabei Verletzungen zugezogen hat, wel- che zur Folge gehabt haben, dass er den geplanten Flug nicht angetreten hat. Dies ist ihm zuzurechnen und er hat sich damit der Überstellung ent- zogen, weshalb die Kausalität gegeben ist.</w:t>
      </w:r>
    </w:p>
    <w:p>
      <w:r>
        <w:rPr>
          <w:b/>
        </w:rPr>
        <w:t>E. 6</w:t>
      </w:r>
    </w:p>
    <w:p>
      <w:r>
        <w:t>Die Rüge der fehlerhaften Feststellung des Sachverhalts erweist sich als nicht stichhaltig. Es ist nicht ersichtlich inwiefern die Vorinstanz diesen nicht korrekt festgestellt haben sollte. Auch wenn der Beschwerdeführer den Vorfall leicht abweichend schildert, verbleibt die Tatsache, dass er den Flug selbstverschuldet, als Folge seines Schlags gegen ein Fenster, nicht an- getreten hat.</w:t>
      </w:r>
    </w:p>
    <w:p>
      <w:r>
        <w:t>F-4923/2024 Seite 8 Dem Beschwerdeführer wurde mit Verfügung vom 24. April 2023 mitgeteilt und mit Urteil vom 16. Mai 2023 bestätigt, dass Kroatien für die Beurteilung seines Asylgesuchs zuständig ist. Er wurde bereits einmal nach Kroatien überstellt. Die Vorinstanz verfügte am 22. Februar 2024 erneut seine Weg- weisung nach Kroatien. Er musste auch nachdem er den Sonderflug am 16. April 2024 nicht angetreten hat, weiterhin mit einer Überstellung rech- nen. Die Verlängerung der Überstellungsfrist ergibt sich aus einer gesetz- lichen Regelung (Art. 29 Abs. 2 der Dublin-III-VO) und die Vorinstanz war nicht verpflichtet, dem Beschwerdeführer die Verlängerung der Frist mitzu- teilen. Eine Verletzung des rechtlichen Gehörs liegt nicht vor.</w:t>
      </w:r>
    </w:p>
    <w:p>
      <w:r>
        <w:rPr>
          <w:b/>
        </w:rPr>
        <w:t>E. 7</w:t>
      </w:r>
    </w:p>
    <w:p>
      <w:r>
        <w:t>Die Voraussetzungen von Art. 29 Abs. 2 Dublin-III-VO für eine Verlänge- rung der Überstellungsfrist auf 18 Monate sind erfüllt. Der Beschwerdefüh- rer kann sich nicht auf einen Ablauf der Frist berufen.</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Mit vorliegendem Urteil ist das Beschwerdeverfahren abgeschlossen und der am 8. August 2024 angeordnete Vollzugsstopp fällt dahin. Der Antrag auf Gewährung der aufschiebenden Wirkung ist gegenstandslos gewor- den.</w:t>
      </w:r>
    </w:p>
    <w:p>
      <w:r>
        <w:rPr>
          <w:b/>
        </w:rPr>
        <w:t>E. 10</w:t>
      </w:r>
    </w:p>
    <w:p>
      <w:r>
        <w:t>Die Gesuche um Gewährung der unentgeltlichen Prozessführung (Art. 65 Abs. 1 VwVG) und unentgeltlichen Rechtsverbeiständung (Art. 65 Abs. 2 VwVG) sind – ungeachtet der weiteren Voraussetzungen – abzuweisen, da sich die Beschwerdebegehren entsprechend den vorstehenden Erwägun- gen als von vornherein als aussichtslos erwiesen haben. Demzufolge sind die Verfahrenskosten in der Höhe von Fr. 750.– dem Beschwerdeführer aufzuerlegen (Art. 63 Abs. 1 VwVG; Art. 1-3 des Reglements vom 21. Feb- ruar 2008 über die Kosten und Entschädigungen vor dem Bundesverwal- tungsgericht [VGKE, SR 173.320.2]).</w:t>
      </w:r>
    </w:p>
    <w:p>
      <w:r>
        <w:t>F-4923/2024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