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F-4899/2024 vom 8. Juli 2024</w:t>
      </w:r>
    </w:p>
    <w:p>
      <w:r>
        <w:t>Bundesverwaltungsgericht, 2024-07-08, FR</w:t>
      </w:r>
    </w:p>
    <w:p>
      <w:r>
        <w:rPr>
          <w:b/>
        </w:rPr>
        <w:t xml:space="preserve">Quelle: </w:t>
      </w:r>
      <w:r>
        <w:t>https://mcp.opencaselaw.ch/entscheid/bvger_F-4899_2024_d20240708</w:t>
      </w:r>
    </w:p>
    <w:p>
      <w:r>
        <w:t>FR: TAF F-4899/2024 du 8 juillet 2024</w:t>
      </w:r>
    </w:p>
    <w:p>
      <w:r>
        <w:t>IT: TAF F-4899/2024 del 8 luglio 2024</w:t>
      </w:r>
    </w:p>
    <w:p>
      <w:pPr>
        <w:pStyle w:val="Heading2"/>
      </w:pPr>
      <w:r>
        <w:t>Regeste</w:t>
      </w:r>
    </w:p>
    <w:p>
      <w:r>
        <w:t>Visa Schengen | Refus d'autorisation d'entrée dans l'espace Schengen ; décision du SEM du 8 juillet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ayant participé à la procédure devant l'autorité inférieure, est spécialement atteint par la décision attaquée (cf. ATAF 2014/1 con- sid. 1.3.1 s.). Il a qualité pour agir et conserve un intérêt digne de protection à la présente procédure de recours, bien que la date originairement prévue pour la visite de sa belle-mère soit dépassée (cf. art. 48 al. 1 PA ; cf., dans ce sens, arrêt du TAF F-862/2023 du 24 mai 2024 consid. 1.3). Présenté dans la forme et les délais prescrits par la loi, le recours est re- 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F-4899/2024 Page 4</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 tissants étrangers sur son territoire. Sous réserve des obligations décou- lant du droit international, il s'agit d'une décision autonome (cf. Message précité, FF 2002 3469, 3531 ; voir également ATAF 2018 VII/5 consid. 3.1 et les réf. citées). La réglementation Schengen reprise par la Suisse dans le cadre de la con- clusion des accords d'association à Schengen limite toutefois les préroga- tives des Etats membres parties à ces accords, dans le sens où cette ré- glementation, d'une part, prévoit des conditions uniformes pour l'entrée dans l'Espace Schengen et la délivrance des visas y relatifs. D'autre part, elle oblige les Etats membres à refuser l'entrée et l'octroi du visa requis si les conditions prescrites ne sont pas remplies. En outre, lorsque l'autorité compétente pour se prononcer sur la demande de visa parvient à la con- 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 dence, la réglementation Schengen ne confère, pas plus que la législation suisse, de droit à l'entrée dans l'Espace Schengen, ni de droit à l'octroi d'un visa (cf. ATAF 2018 VII/5 consid. 3.1 et les réf. citées).</w:t>
      </w:r>
    </w:p>
    <w:p>
      <w:r>
        <w:rPr>
          <w:b/>
        </w:rPr>
        <w:t>E. 3.2</w:t>
      </w:r>
    </w:p>
    <w:p>
      <w:r>
        <w:t>Les dispositions sur la procédure en matière de visa ainsi que sur l'en- trée en Suisse et la sortie de ce pays ne s'appliquent que dans la mesure où les accords d'association à Schengen, qui sont mentionnés à l'Annexe 1, ch. 1 LEI (RS 142.20), ne contiennent pas de dispositions divergentes (cf. art. 2 al. 4 et 5 LEI).</w:t>
      </w:r>
    </w:p>
    <w:p>
      <w:r>
        <w:t>F-4899/2024 Page 5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 sid. 5.2 s.). Cette interprétation est d'ailleurs corroborée par le règlement (CE) 810/2009 du Parlement européen et du Conseil du 13 juillet 2009 éta- blissant un code communautaire des visas (code des visas [JO L 243 du 15 septembre 2009, p. 1-58]), aux termes duquel il appartient au deman- deur de visa de fournir des informations permettant d'apprécier sa volonté de quitter le territoire des Etats membres avant l'expiration du visa de- mandé (cf. art. 14 par. 1 let. d du code des visas) et une attention particu- lière est accordée à cette volonté (cf. art. 21 par. 1 du code des visas).</w:t>
      </w:r>
    </w:p>
    <w:p>
      <w:r>
        <w:rPr>
          <w:b/>
        </w:rPr>
        <w:t>E. 3.3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 mandeur dispose de moyens financiers dans le pays de résidence, d'une attestation d'emploi et des relevés bancaires, de toute preuve de la pos- session de biens immobiliers et de toute preuve de l'intégration dans le pays de résidence (liens de parenté et situation professionnelle).</w:t>
      </w:r>
    </w:p>
    <w:p>
      <w:r>
        <w:rPr>
          <w:b/>
        </w:rPr>
        <w:t>E. 3.4</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w:t>
      </w:r>
    </w:p>
    <w:p>
      <w:r>
        <w:t>F-4899/2024 Page 6 Comme ressortissante pakistanaise, l’invitée est soumise à l’obligation du visa (art. 8 al. 1 OEV, qui renvoie à l’annexe I ch. 1 du règlement 2018/1806 susmentionné).</w:t>
      </w:r>
    </w:p>
    <w:p>
      <w:r>
        <w:rPr>
          <w:b/>
        </w:rPr>
        <w:t>E. 4.1</w:t>
      </w:r>
    </w:p>
    <w:p>
      <w:r>
        <w:t>Dans sa décision du 8 juillet 2024, l’autorité inférieure a confirmé le refus d’autorisation d’entrée dans l’Espace Schengen prononcé à l’en- contre de l’invitée par la Représentation suisse. Elle a considéré que sa sortie de l’Espace Schengen, au terme du séjour sollicité, n’apparaissait pas suffisamment garantie, compte tenu de la situation socio-économique prévalant au Pakistan et de sa situation personnelle. L’autorité inférieure a relevé que l’invitée était veuve et femme au foyer et que tous ses enfants vivaient dans leur propre maison. Par ailleurs, compte tenu de son âge avancé (75 ans), il ne pouvait être exclu que celle-ci doive prolonger son séjour, volontairement ou non, en raison des infrastructures médicales supérieures à disposition en Suisse. De plus, le SEM a consi- déré que l’invitée n’avait pas démontré disposer d’attaches suffisantes dans son pays d’origine, que ce soit sur le plan professionnel, familial ou social. Enfin, son souhait, compréhensible et légitime, de rendre visite à sa fille et à ses petits-enfants ne constituait pas à lui seul un motif justifiant l’octroi d’un visa en sa faveur, étant encore précisé qu’il leur était possible de se voir au Pakistan ou dans un pays tiers.</w:t>
      </w:r>
    </w:p>
    <w:p>
      <w:r>
        <w:rPr>
          <w:b/>
        </w:rPr>
        <w:t>E. 4.2</w:t>
      </w:r>
    </w:p>
    <w:p>
      <w:r>
        <w:t>Dans son recours, l’hôte a précisé que sa belle-mère était de toute ma- nière complétement à sa charge, que ce soit au quotidien au Pakistan ou lors de sa visite en Suisse. Il s’est également engagé à prendre en charge le soutien médical nécessaire si son invitée devait nécessiter des soins médicaux. Par ailleurs, il a invoqué le droit de ses enfants à voir leur grand- mère et considéré que refuser la venue de celle-ci en Suisse sur la seule base de son âge représentait une discrimination contraire à la Constitution. Il a également relevé que, si la situation générale au Pakistan était mar- quée par des tensions politiques et sociales importantes, cet élément n’était aucunement nouveau. Enfin, il a indiqué qu’il était culturellement at- tendu de sa belle-mère qu’elle s’engage uniquement envers ses petits-en- fants, sans autre engagement extérieur.</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w:t>
      </w:r>
    </w:p>
    <w:p>
      <w:r>
        <w:t>F-4899/2024 Page 7 l'étranger concerné (cf. ATAF 2014/1 consid. 6.1 à 6.3). Un visa ne peut être octroyé que s'il n'existe pas de doutes fondés quant au retour de l'invité dans sa patrie dans les délais impartis (cf. arrêt du TAF F-7218/2023 du 27 mai 2024 consid. 3.4). Tel est le cas si, au vu de l'ensemble des circons- tances, il existe un haut degré de probabilité que l'invité retourne dans son pays à l'échéance du visa convoité (cf. arrêt du TAF F-862/2023 du 24 mai 2024 consid. 7.1).</w:t>
      </w:r>
    </w:p>
    <w:p>
      <w:r>
        <w:rPr>
          <w:b/>
        </w:rPr>
        <w:t>E. 5.2</w:t>
      </w:r>
    </w:p>
    <w:p>
      <w:r>
        <w:t>Cela étant, lorsque l'autorité examine si la personne présente les ga- 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 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 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 mique ou politique difficile, il se justifie en effet d'appliquer une pratique restrictive, car les intérêts privés de telles personnes s'avèrent souvent in- compatibles avec le but et l'esprit d'une autorisation d'entrée limitée dans le temps (cf. ATAF 2014/1 consid. 6.1 et 7.2 et arrêt du TAF F-3285/2023 du 20 mars 2024 consid. 6.3).</w:t>
      </w:r>
    </w:p>
    <w:p>
      <w:r>
        <w:rPr>
          <w:b/>
        </w:rPr>
        <w:t>E. 6.1</w:t>
      </w:r>
    </w:p>
    <w:p>
      <w:r>
        <w:t>Dans le cas particulier, compte tenu de la situation générale prévalant actuellement au Pakistan − notamment sur les plans sécuritaire et socioé- conomique − et des nombreux avantages qu'offrent la Suisse et d'autres pays membres de l'Espace Schengen − notamment en termes de sécurité, de niveau de vie et de structures socio-médicales −, le Tribunal de céans ne saurait de prime abord écarter les craintes émises par l'autorité infé- rieure quant à une éventuelle prolongation du séjour de l’invitée sur le ter- ritoire suisse − respectivement dans l'Espace Schengen − au-delà de la durée de validité du visa convoité.</w:t>
      </w:r>
    </w:p>
    <w:p>
      <w:r>
        <w:t>F-4899/2024 Page 8 En effet, le produit intérieur brut (PIB) par habitant du Pakistan a été calculé à 6'212 USD par la Banque mondiale pour l’année 2023, demeurant ainsi très en dessous des standards européens et notamment de celui de la Suisse pour la même période (92'980,4 USD ; cf. site internet de la Banque mondiale, www.banquemondiale.org &gt; naviguer par indicateur &gt; PIB par habitant, consulté en octobre 2024). Par ailleurs, le pays a fait face à une inflation de 30,8% en 2023 (cf. site internet de la Banque mondiale, www.banquemondiale.org &gt; naviguer par indicateur &gt; Inflation, prix à la consommation [% annuel], consulté en octobre 2024). De plus, le pays souffre d’une grave crise économique et financière, la- quelle s’accompagne de fortes tensions politiques et sociales ainsi qu’entre différents courants de la religion musulmane et entre les groupes religieux extrémistes et l’Etat. Par ailleurs, des actes de violence et troubles à ca- ractère politique et religieux peuvent éclater à tout moment dans le pays et le risque d’attaques terroristes existe à tout moment sur l’ensemble du ter- ritoire (cf. Département fédéral des affaires étrangères [DFAE], en ligne sur son site : www.eda.admin.ch &gt; Conseils aux voyageurs &amp; représentations – Pakistan, consulté en octobre 2024). Le Tribunal ne saurait omettre que les importantes disparités socioécono- miques existant entre le Pakistan et la Suisse, ainsi que la situation sécu- ritaire, ne sont pas sans entraîner une pression migratoire non négligeable. Cette tendance migratoire n’est que renforcée lorsque la personne concer- née peut s’appuyer sur un réseau social préexistant dans son pays de des- tination, comme c’est précisément le cas en l’espèce (ATAF 2014/1 consid. 6.2.2 ; arrêt du TAF F-3285/2023 du 20 mars 2024 consid. 7.1 in fine).</w:t>
      </w:r>
    </w:p>
    <w:p>
      <w:r>
        <w:rPr>
          <w:b/>
        </w:rPr>
        <w:t>E. 6.2</w:t>
      </w:r>
    </w:p>
    <w:p>
      <w:r>
        <w:t>Cela étant, le Tribunal ne saurait se fonder sur la seule situation préva- lant au Pakistan pour conclure à l’absence de garantie quant à la sortie de l’intéressée de l’Espace Schengen à l’issue de la durée de validité du visa convoité, mais doit également prendre en considération les particularités du cas d’espèce. Ainsi, si l’intéressé assume d’importantes responsabilités dans sa patrie (au plan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F-862/2023 du 24 mai 2024 consid. 8.1).</w:t>
      </w:r>
    </w:p>
    <w:p>
      <w:r>
        <w:t>F-4899/2024 Page 9</w:t>
      </w:r>
    </w:p>
    <w:p>
      <w:r>
        <w:rPr>
          <w:b/>
        </w:rPr>
        <w:t>E. 6.3</w:t>
      </w:r>
    </w:p>
    <w:p>
      <w:r>
        <w:t>Il convient dès lors d’examiner si la situation personnelle, familiale et professionnelle de l’intéressée plaide en faveur de sa sortie ponctuelle de Suisse (respectivement de l’Espace Schengen) au terme du séjour envi- sagé.</w:t>
      </w:r>
    </w:p>
    <w:p>
      <w:r>
        <w:rPr>
          <w:b/>
        </w:rPr>
        <w:t>E. 6.3.1</w:t>
      </w:r>
    </w:p>
    <w:p>
      <w:r>
        <w:t>En l’espèce, le Tribunal relève tout d’abord que l’invitée, aujourd’hui âgée de 75 ans, a vécu toute sa vie au Pakistan. Femme au foyer, elle n’a, sur le vu du dossier, jamais exercé une activité professionnelle et n’est ac- tive dans aucune association. Veuve, ses deux filles, âgées de 45 et 47 ans, sont toutes les deux mariées et ont, de toute évidence, quitté le foyer de leur mère, l’aînée résidant à l’heure actuelle en Suisse et étant l’épouse du recourant. Dès lors, force est de constater que l’invitée ne dispose pas de liens ou d’obligations sociales ou familiales extraordinaires ou même d’importance au Pakistan, pas plus que d’attaches financières ou patrimoniales, étant encore précisé que l’invitant a indiqué être le soutien financier de sa belle- mère.</w:t>
      </w:r>
    </w:p>
    <w:p>
      <w:r>
        <w:rPr>
          <w:b/>
        </w:rPr>
        <w:t>E. 6.3.2</w:t>
      </w:r>
    </w:p>
    <w:p>
      <w:r>
        <w:t>Concernant l’éventuelle application de l’art. 8 CEDH, il y a lieu de rappeler que cette disposition, protégeant, entre autres, la vie privée et fa- miliale, ne garantit pas le droit d’entrer ou de résider dans un Etat dont la personne n’est pas ressortissante, les Etats contractants ayant le droit de contrôler l’entrée, le séjour et l’établissement des non-nationaux.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(cf. ATF 144 I 91 consid. 4.2 ; arrêt du TF 2C_149/2023 du 22 novembre 2023 consid. 5.2).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ou requiert, en présence d’enfants majeur, l’existence d’un rapport de dépendance, en raison par exemple d’un handicap ou d’une maladie grave (ATF 147 I 268 consid. 1.2.3 ; 145 I 227 consid. 3.1), ce qui n’est pas le cas de l’invitée et de sa fille, respectivement de ses petits-enfants. Le souhait de l’invitant de permettre à sa belle-mère de venir rendre visite à sa fille et à ses petits-enfants en Suisse est certes compréhensible et légitime, mais ne constitue pas à lui seul un motif justifiant l’octroi d’un visa</w:t>
      </w:r>
    </w:p>
    <w:p>
      <w:r>
        <w:t>F-4899/2024 Page 10 en sa faveur. Le refus d’octroi de l’autorisation d’entrée sollicitée, fondé sur des considérations liées à l’ordre public (risques migratoires), ne viole par conséquent pas cette disposition conventionnelle. Au demeurant, il convient de relever qu’un refus d’autorisation d’entrée dans l’Espace Schengen prononcé par les autorités suisses n’a pas, en l’occurrence, pour conséquence d’empêcher l’invitée et sa famille de se rencontrer ailleurs qu’en Suisse. Bien au contraire, l’invitant a lui-même reconnu qu’il serait possible, bien que plus couteux et plus complexe sur le plan logistique, d’organiser une telle rencontre au Pakistan. A cela s’ajoute que les contacts peuvent également être maintenus par d’autres moyens tels que la communication téléphonique, la correspondance et les visioconférences.</w:t>
      </w:r>
    </w:p>
    <w:p>
      <w:r>
        <w:rPr>
          <w:b/>
        </w:rPr>
        <w:t>E. 6.4.1</w:t>
      </w:r>
    </w:p>
    <w:p>
      <w:r>
        <w:t>L’invitant a également soulevé le grief de l’interdiction de discrimina- tion au sens de l’art. 8 al. 2 Cst., au motif que le refus d’octroi d’un visa Schengen en faveur de l’invitée se fonderait exclusivement sur son âge, ce qui reviendrait à priver systématiquement les grands-parents de leur droit de voir leurs petits-enfants uniquement en raison de leur âge.</w:t>
      </w:r>
    </w:p>
    <w:p>
      <w:r>
        <w:rPr>
          <w:b/>
        </w:rPr>
        <w:t>E. 6.4.2</w:t>
      </w:r>
    </w:p>
    <w:p>
      <w:r>
        <w:t>L’invitant associe à tort le refus d’octroi du visa Schengen souhaité à l’âge de son invitée. En effet, ce n’est qu’après un examen global de la situation au Pakistan, des particularités du cas d’espèce et de la situation personnelle de la requérante – en particulier de son manque d’attaches fortes et objectives avec son pays d’origine – que le Tribunal, à l’instar de l’autorité inférieure, a établi un pronostic négatif quant aux conditions d’en- trée prévues par le code frontières Schengen concernant la garantie que l’invitée quittera la Suisse à l’issue du séjour envisagé (cf. supra, consid. 6.3).</w:t>
      </w:r>
    </w:p>
    <w:p>
      <w:r>
        <w:rPr>
          <w:b/>
        </w:rPr>
        <w:t>E. 6.4.3</w:t>
      </w:r>
    </w:p>
    <w:p>
      <w:r>
        <w:t>Partant, la décision querellée ne constitue pas une violation du prin- cipe de l’interdiction de discrimination au sens de l’art. 8 al. 2 Cst.</w:t>
      </w:r>
    </w:p>
    <w:p>
      <w:r>
        <w:rPr>
          <w:b/>
        </w:rPr>
        <w:t>E. 6.5</w:t>
      </w:r>
    </w:p>
    <w:p>
      <w:r>
        <w:t>Sur le vu de ce qui précède, et sans remettre en cause le désir de l’invitée de venir rendre visite à sa famille en Suisse ou les considérations pratiques avancées par l’hôte s’agissant du voyage de la seule invitée en lieu et place de l’ensemble de la famille, le Tribunal estime que l’invitée n’a pas démontré disposer, dans son pays d’origine, d’attaches à ce point étroites ou de responsabilités à ce point importantes que son départ de Suisse au terme du séjour sollicité puisse être garanti, étant encore rappelé que, au regard de la situation de crise que traverse le pays, ce que l’invitant</w:t>
      </w:r>
    </w:p>
    <w:p>
      <w:r>
        <w:t>F-4899/2024 Page 11 reconnaît lui-même, une pratique restrictive se justifie (cf. supra consid. 5.2). Dans ces circonstances, le Tribunal ne saurait reprocher à l'instance infé- rieure d'avoir confirmé le refus d'autorisation d'entrée dans l'Espace Schengen concernant l’invitée.</w:t>
      </w:r>
    </w:p>
    <w:p>
      <w:r>
        <w:rPr>
          <w:b/>
        </w:rPr>
        <w:t>E. 7.1</w:t>
      </w:r>
    </w:p>
    <w:p>
      <w:r>
        <w:t>Au regard de ces éléments, l’autorité inférieure, qui dispose d’un large pouvoir d’appréciation en la matière, n’a, par sa décision du 8 juillet 2024, ni violé le droit fédéral ni constaté des faits pertinents de manière inexacte ou incomplète ; en outre, cette décision n’est pas inopportune (art. 49 PA). En conséquence, le recours est rejeté.</w:t>
      </w:r>
    </w:p>
    <w:p>
      <w:r>
        <w:rPr>
          <w:b/>
        </w:rPr>
        <w:t>E. 7.2</w:t>
      </w:r>
    </w:p>
    <w:p>
      <w:r>
        <w:t>Vu l’issue de la cause, il convient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F-4899/2024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