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F-4899/2017 vom 5. September 2017</w:t>
      </w:r>
    </w:p>
    <w:p>
      <w:r>
        <w:t>Bundesverwaltungsgericht, 2017-09-05, FR</w:t>
      </w:r>
    </w:p>
    <w:p>
      <w:r>
        <w:rPr>
          <w:b/>
        </w:rPr>
        <w:t xml:space="preserve">Quelle: </w:t>
      </w:r>
      <w:r>
        <w:t>https://mcp.opencaselaw.ch/entscheid/bvger_F-4899_2017</w:t>
      </w:r>
    </w:p>
    <w:p>
      <w:r>
        <w:t>FR: TAF F-4899/2017 du 5 septembre 2017</w:t>
      </w:r>
    </w:p>
    <w:p>
      <w:r>
        <w:t>IT: TAF F-4899/2017 del 5 settembre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A.________ a qualité pour recourir (cf. art. 48 PA). Présenté dans la forme et le délai prescrits par la loi, le recours est recevable (cf. art. 52 al. 1 PA, applicables par renvoi de l'art. 37 LTAF et art. 108 al. 2 LAsi).</w:t>
      </w:r>
    </w:p>
    <w:p>
      <w:r>
        <w:rPr>
          <w:b/>
        </w:rPr>
        <w:t>E. 1.3</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En vertu de l'art. 31a al. 1 let. b LAsi, le SEM n'entre pas en matière sur une demande d'asile lorsque le requérant peut se rendre dans un Etat tiers compétent, en vertu d'un accord international, pour mener la procédure d'asile et de renvoi. Aux termes de l'art. 3 par. 1 du règlement Dublin III, une demande de protection internationale est examinée par un seul Etat membre, celui-ci étant déterminé à l'aide des critères fixés à son chapitre III (art. 8 à 15). S'il ressort de cet examen qu'un autre Etat est responsable du traitement de la demande d'asile, le SEM rend une décision de non-entrée en matière après que l'Etat requis a accepté la prise ou la reprise en charge du requérant d'asile. Dans une procédure de reprise en charge (anglais : take back), il n'y a en principe aucun nouvel examen de la compétence selon le chapitre III (ATAF 2012/4 consid. 3.2.1 et réf. cit.). L'Etat membre responsable en vertu du règlement est tenu de reprendre en charge, dans les conditions prévues aux art. 23, 24, 25 et 29, le ressortissant d'un pays tiers ou l'apatride dont la demande a été rejetée et qui a présenté une demande auprès d'un autre Etat membre ou qui se trouve, sans titre de séjour, sur le territoire d'un autre Etat membre (cf. art. 18 par. 1 let. d du règlement Dublin III). Selon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w:t>
      </w:r>
    </w:p>
    <w:p>
      <w:r>
        <w:rPr>
          <w:b/>
        </w:rPr>
        <w:t>E. 3</w:t>
      </w:r>
    </w:p>
    <w:p>
      <w:r>
        <w:t>En l'occurrence, les investigations entreprises par le SEM et les déclarations de A.________ ont en particulier révélé que l'intéressé a déposé une demande d'asile en France le (...). Le Secrétariat d'Etat a dès lors soumis aux autorités françaises compétentes, dans le délai fixé à l'art. 23 par. 2 du règlement Dublin III, une requête aux fins de reprise en charge de l'intéressé, fondée sur l'art. 18 par. 1 let. d de ce même règlement. Dites autorités ayant, par communication électronique du (...) 2017, expressément accepté de reprendre en charge l'intéressé, sur la base de cette même disposition, elles ont reconnu leur compétence pour traiter la demande d'asile de celui-ci.</w:t>
      </w:r>
    </w:p>
    <w:p>
      <w:r>
        <w:rPr>
          <w:b/>
        </w:rPr>
        <w:t>E. 4</w:t>
      </w:r>
    </w:p>
    <w:p>
      <w:r>
        <w:t>Dans son recours du (...) 2017, A.________ n'a pas remis en question la responsabilité de la France en application des critères de détermination de l'Etat membre responsable pour l'examen de la demande d'asile prévus au chapitre III du règlement Dublin III. Il s'est en revanche opposé à son transfert vers ce pays faisant valoir que celui-ci entrainerait un risque de refoulement en chaîne vers un Etat, à savoir la Guinée, où sa vie, son intégrité et sa liberté étaient en danger, ceci en violation de l'art. 3 CEDH. Il a en particulier expliqué qu'il serait arrêté et incarcéré en cas de retour en Guinée, car il y était poursuivi en raison de son appartenance à un parti politique d'opposition et de son ethnie, précisant notamment que la torture y est pratiquée dans les prisons et que les procès n'y sont pas équitables.</w:t>
      </w:r>
    </w:p>
    <w:p>
      <w:r>
        <w:rPr>
          <w:b/>
        </w:rPr>
        <w:t>E. 5</w:t>
      </w:r>
    </w:p>
    <w:p>
      <w:r>
        <w:t>Le Tribunal prend position comme suit :</w:t>
      </w:r>
    </w:p>
    <w:p>
      <w:r>
        <w:rPr>
          <w:b/>
        </w:rPr>
        <w:t>E. 5.1</w:t>
      </w:r>
    </w:p>
    <w:p>
      <w:r>
        <w:t>Il est tout d'abord relevé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Ce pays est en effet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En ce qui concerne la France, cette présomption n'ayant pas été renversée, l'art. 3 par. 2 du règlement Dublin III ne trouve donc pas application en l'espèce.</w:t>
      </w:r>
    </w:p>
    <w:p>
      <w:r>
        <w:rPr>
          <w:b/>
        </w:rPr>
        <w:t>E. 5.2</w:t>
      </w:r>
    </w:p>
    <w:p>
      <w:r>
        <w:t>En second lieu, la présomption de sécurité peut être renversée par des indices sérieux que, dans le cas concret, les autorités de cet Etat ne respecteraient pas le droit international (ATAF 2010/45 consid. 7.4 et 7.5). Or, de tels indices font clairement défaut in casu. En effet, malgré les allégations du recourant, rien ne permet, dans le cas présent, d'admettre que la décision négative des autorités d'asile françaises prise à son égard ait été prononcée en violation du principe de non-refoulement, ancré en particulier à l'art. 33 Conv. réfugiés, à l'art. 3 CEDH ou encore à l'art. 3 Conv. torture. L'intéressé n'a à cet égard pas démontré, que sa demande de protection déposée en France n'aurait pas été traitée conformément aux dispositions légales applicables dans ce pays, lequel est notamment lié par les conventions précitées, et avec diligence par les autorités compétentes de cet Etat, conformément au droit applicable (cf. not. la directive Procédure). Au demeurant, une décision définitive de refus d'asile et de renvoi vers le pays d'origine ne constitue pas, en soi, une violation du principe de nonrefoulement. Au contraire, en retenant le principe de l'examen de la demande par un seul Etat membre (« one chance only »), le règlement Dublin vise précisément à lutter contre les demandes d'asile multiples (« asylum shopping »). Ainsi, en cas de décision négative, l'Etat responsable de l'examen de la demande d'asile demeure compétent pour le renvoi de l'espace Dublin de l'intéressé (cf. notamment ATAF 2012/4 consid. 3.2.1). Par ailleurs, il y a lieu de rappeler que le règlement précité ne confère pas aux demandeurs d'asile le droit de choisir l'Etat membre offrant, à leur avis, les meilleures conditions d'accueil comme Etat responsable de l'examen de leur demande d'asile (par analogie, arrêt de la CJUE du 10 décembre 2013 C-394/12 Shamso Abdullahi contre Autriche, par. 59 et 62 ; ATAF 2010/45 consid. 8.3). Enfin, A.________ n'a ni allégué et encore moins démontré que ses conditions d'existence en France revêtiraient un tel degré de pénibilité et de gravité qu'elles seraient constitutives d'un traitement contraire à l'art. 3 CEDH ou encore à l'art. 3 Conv. torture. Si le recourant devait toutefois, à son retour en France,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Dans ces conditions, le transfert vers la France du recourant n'apparaît pas contraire aux obligations de la Suisse découlant des dispositions conventionnelles précitées.</w:t>
      </w:r>
    </w:p>
    <w:p>
      <w:r>
        <w:rPr>
          <w:b/>
        </w:rPr>
        <w:t>E. 5.3</w:t>
      </w:r>
    </w:p>
    <w:p>
      <w:r>
        <w:t>Enfin, le SEM a bien pris en compte les faits allégués par l'intéressé, susceptibles de constituer des « raisons humanitaires », au sens de l'art. 29a al. 3 OA 1. Il n'a pas fait preuve d'arbitraire dans son appréciation ou violé le principe de l'égalité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119 ss).</w:t>
      </w:r>
    </w:p>
    <w:p>
      <w:r>
        <w:rPr>
          <w:b/>
        </w:rPr>
        <w:t>E. 6</w:t>
      </w:r>
    </w:p>
    <w:p>
      <w:r>
        <w:t>C'est dès lors à juste titre que le SEM n'est pas entré en matière sur la demande de protection de A.________, en application de l'art. 31a al. 1 let. b LAsi, et qu'il a prononcé son transfert de Suisse vers la France conformément à l'art. 44 LAsi, aucune exception à la règle générale du renvoi n'étant réalisée (art. 32 OA 1). Pour le surplus, il convient de renvoyer aux considérants de la décision attaquée dès lors que ceux-ci sont suffisamment explicites et motivés (art. 109 al. 3 LTF, par renvoi de l'art. 4 PA).</w:t>
      </w:r>
    </w:p>
    <w:p>
      <w:r>
        <w:rPr>
          <w:b/>
        </w:rPr>
        <w:t>E. 7</w:t>
      </w:r>
    </w:p>
    <w:p>
      <w:r>
        <w:t>Par conséquent, le recours doit être rejeté. S'avérant manifestement infondé, il l'est dans une procédure à juge unique, avec l'approbation d'un second juge (art. 111 let. e LAsi). Il est dès lors renoncé à un échange d'écritures, le présent arrêt n'étant motivé que sommairement (cf. art. 111a al. 1 et 2 LAsi).</w:t>
      </w:r>
    </w:p>
    <w:p>
      <w:r>
        <w:rPr>
          <w:b/>
        </w:rPr>
        <w:t>E. 8</w:t>
      </w:r>
    </w:p>
    <w:p>
      <w:r>
        <w:t>Les conclusions du recours étant d'emblée vouées à l'échec, la demande d'assistance judiciaire partielle (art. 65 al. 1 PA) et totale (art. 65 al. 2 PA) est rejetée. Ainsi,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