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F-4898/2023 vom 21. September 2023</w:t>
      </w:r>
    </w:p>
    <w:p>
      <w:r>
        <w:t>Bundesverwaltungsgericht, 2023-09-21, FR</w:t>
      </w:r>
    </w:p>
    <w:p>
      <w:r>
        <w:rPr>
          <w:b/>
        </w:rPr>
        <w:t xml:space="preserve">Quelle: </w:t>
      </w:r>
      <w:r>
        <w:t>https://mcp.opencaselaw.ch/entscheid/bvger_F-4898_2023</w:t>
      </w:r>
    </w:p>
    <w:p>
      <w:r>
        <w:t>FR: TAF F-4898/2023 du 21 septembre 2023</w:t>
      </w:r>
    </w:p>
    <w:p>
      <w:r>
        <w:t>IT: TAF F-4898/2023 del 21 settembre 2023</w:t>
      </w:r>
    </w:p>
    <w:p>
      <w:pPr>
        <w:pStyle w:val="Heading2"/>
      </w:pPr>
      <w:r>
        <w:t>Regeste</w:t>
      </w:r>
    </w:p>
    <w:p>
      <w:r>
        <w:t>Asile (non-entrée en matière) et renvoi (procédure Dublin - art. 31a al. 1 let. b LAsi)</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de la loi fédérale du 26 juin 1998 sur l'asile [LAsi, RS 142.31], en relation avec l'art. 6 LAsi et l'art. 83 let. d ch. 1 de la loi fédérale du 17 juin 2005 sur le Tribunal fédéral [LTF, RS 173.110]), exception non réalisée en l'espèce. A moins que la LAsi n'en dispose autrement, la procédure devant le Tribunal est régie par la PA et la LTAF (art. 6 LAsi et art. 37 LTAF). Le recourant a qualité pour recourir (art. 48 al. 1 PA, applicable par renvoi de l'art. 37 LTAF). En outre, présenté dans la forme (art. 52 al. 1 PA) et le délai (art. 108 al. 3 LAsi) prescrits par la loi, son recours est recevable. Saisi d'un recours contre une décision de non-entrée en matière sur une demande d'asile, le Tribunal se limite à examiner le bien-fondé d'une telle décision (cf. ATAF 2017 VI/5 consid. 3.1).</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au pouvoir d'examen du Tribunal dans les causes relevant du domaine de l'asile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conformément aux art. 1 et 29a de l'ordonnance 1 du 11 août 1999 sur l'asile relative à la procédure (OA 1, RS 142.311),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(ATAF 2017 VI/7 consid. 2.1 et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En vertu du principe de pétrification, la détermination de l'Etat membre responsable se fait sur la base de la situation qui existait au moment où le demandeur a introduit sa demande de protection internationale pour la première fois auprès d'un Etat membre (cf. art. 7 par. 2 du règlement Dublin III).</w:t>
      </w:r>
    </w:p>
    <w:p>
      <w:r>
        <w:rPr>
          <w:b/>
        </w:rPr>
        <w:t>E. 3.3</w:t>
      </w:r>
    </w:p>
    <w:p>
      <w:r>
        <w:t>En outre, dans une procédure de reprise en charge (en anglais: take back) telle la présente procédure, dès lors qu'un Etat membre a déjà été saisi d'une demande d'asile et a admis, ou acquis tacitement,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du règlement Dublin III) et à l'art. 20 par. 5 du règlement Dublin III (cf. ATAF 2019 VI/7 consid. 6.4.1.3, 2017 VI/5 consid. 6.2, 6.3, 8.2.1 et 8.3). Aux termes de l'art. 18 par. 1 let. b du règlement Dublin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ainsi que de mener à son terme cet examen.</w:t>
      </w:r>
    </w:p>
    <w:p>
      <w:r>
        <w:rPr>
          <w:b/>
        </w:rPr>
        <w:t>E. 3.4.1</w:t>
      </w:r>
    </w:p>
    <w:p>
      <w:r>
        <w:t>En l'occurrence, les investigations entreprises par le SEM ont révélé, après consultation de l'unité centrale du système européen « Eurodac », que le recourant avait été interpellé par les autorités croates le 27 juin 2023 et avait déposé une demande d'asile le même jour. Fondé sur ce constat, le SEM a formulé une demande de reprise en charge au sens de l'art. 18 par. 1 let. b du règlement Dublin III auprès des autorités croates, le 20 juillet 2023, soit dans le délai de deux mois à compter du résultat positif résultant de la base de données prévu à l'art. 23 par. 2 du règlement Dublin III. N'ayant pas répondu à la demande de prise en charge dans le délai de deux semaines prévu à l'art. 25 par. 1 phr. 2 du règlement Dublin III, la Croatie est réputée avoir acceptée cette requête et, partant, avoir reconnu sa compétence pour traiter la demande d'asile du recourant (art. 25 par. 2 du règlement Dublin III).</w:t>
      </w:r>
    </w:p>
    <w:p>
      <w:r>
        <w:rPr>
          <w:b/>
        </w:rPr>
        <w:t>E. 3.4.2</w:t>
      </w:r>
    </w:p>
    <w:p>
      <w:r>
        <w:t>Bien que le recourant ne l'invoque pas formellement pour s'opposer à la compétence de la Croatie, le Tribunal précise toutefois que la présence du beau-frère de l'intéressé en Suisse n'est pas de nature à influencer la désignation de l'Etat Dublin responsable pour le traitement de la demande d'asile. En effet, d'une part, un tel lien de parenté, de même que celui de frère et soeur, n'est pas couvert par la définition de « membre de la famille » au sens de l'art. 2 let. b du règlement Dublin III. D'autre part, en ce qui concerne une éventuelle application de l'art. 16 du règlement Dublin III, le Tribunal constate qu'il n'existe en l'occurrence aucun lien de dépendance, susceptible de conduire à l'application ce cette disposition au cas d'espèce.</w:t>
      </w:r>
    </w:p>
    <w:p>
      <w:r>
        <w:rPr>
          <w:b/>
        </w:rPr>
        <w:t>E. 3.4.3</w:t>
      </w:r>
    </w:p>
    <w:p>
      <w:r>
        <w:t>S'agissant des allégations du recourant selon lesquelles il n'aurait pas déposé, ou n'aurait pas souhaité déposer, une demande d'asile en Croatie, le Tribunal constate que le dépôt par le recourant d'une demande de protection internationale dans ce pays en date du 27 juin 2023 est confirmé par les données enregistrées dans le système « Eurodac ». L'allégation du recourant est très succincte et n'est étayée par aucun élément concret ou probant et ne saurait donc se voir accorder de portée décisive dans ces conditions.</w:t>
      </w:r>
    </w:p>
    <w:p>
      <w:r>
        <w:rPr>
          <w:b/>
        </w:rPr>
        <w:t>E. 3.4.4</w:t>
      </w:r>
    </w:p>
    <w:p>
      <w:r>
        <w:t>Au vu de ce qui précède, c'est bien la Croatie qui est responsable pour le traitement de la demande d'asile du recourant, les critères de détermination (art. 7 ss du règlement Dublin III) ayant été correctement appliqués.</w:t>
      </w:r>
    </w:p>
    <w:p>
      <w:r>
        <w:rPr>
          <w:b/>
        </w:rPr>
        <w:t>E. 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4.1</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La Croatie est également présumée respecter la sécurité des demandeurs d'asile (cf. arrêts du TAF F-3061/2021 du 9 juillet 2021 consid. 5.2 et E- 711/2021 du 11 mars 2021 consid. 4.2.1),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[directive Procédure] et directive no 2013/33/UE du Conseil du 26 juin 2013 relative à des normes minimales pour l'accueil des demandeurs d'asile dans les Etats membres [directive Accueil]).</w:t>
      </w:r>
    </w:p>
    <w:p>
      <w:r>
        <w:rPr>
          <w:b/>
        </w:rPr>
        <w:t>E. 4.2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Dans un récent arrêt de référence en lien à la Croatie rendu à cinq juges et coordonné au sein des Cours IV, V et VI du Tribunal (cf. E-1488/2020 du 22 mars 2023), il a été rappelé que lors d'un transfert vers l'Etat responsable fondé sur le règlement Dublin III, le point principal à déterminer, sous l'angle de l'art. 3 al. 2 du règlement Dublin III,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ce jour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w:t>
      </w:r>
    </w:p>
    <w:p>
      <w:r>
        <w:rPr>
          <w:b/>
        </w:rPr>
        <w:t>E. 4.3</w:t>
      </w:r>
    </w:p>
    <w:p>
      <w:r>
        <w:t>Au vu de ce qui précède, il faut partir du principe que les requérants transférés en Croatie sur la base du règlement Dublin III ont accès à la procédure d'asile dans ce pays à condition d'y déposer une demande. Par conséquent, il n'y a pas de probabilité notable que les personnes transférées soient exposées à un risque de violation de leurs droits découlant du principe de non-refoulement (cf. arrêt de référence précité consid. 9.5). En particulier, le recourant n'a fourni aucun élément concret susceptible de renverser la présomption de sécurité susmentionnée, ses critiques concernant le traitement réservé aux migrants par les autorités croates ne contenant aucune substance matérielle et le mauvais traitement qu'il allègue avoir subi par les forces de l'ordre étant loin d'atteindre un seuil permettant d'imaginer des défaillances systématiques ou une violation de l'interdiction de traitements inhumains et dégradants (art. 3 CEDH). Le recourant n'a pas non plus fait état d'éléments spécifiques à même de démontrer que la Croatie ne respecterait pas le principe de non-refoulement et faillirait à ses obligations internationales en le renvoyant dans un pays où sa vie, son intégrité corporelle ou sa liberté seraient sérieusement menacées, ou encore d'où il risquerait d'être astreint à se rendre dans un tel pays.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w:t>
      </w:r>
    </w:p>
    <w:p>
      <w:r>
        <w:rPr>
          <w:b/>
        </w:rPr>
        <w:t>E. 4.4</w:t>
      </w:r>
    </w:p>
    <w:p>
      <w:r>
        <w:t>Il sied enfin de rappeler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2010/45 consid. 8.3).</w:t>
      </w:r>
    </w:p>
    <w:p>
      <w:r>
        <w:rPr>
          <w:b/>
        </w:rPr>
        <w:t>E. 4.5</w:t>
      </w:r>
    </w:p>
    <w:p>
      <w:r>
        <w:t>Par voie de conséquence, l'application de l'art. 3 par. 2 al. 2 du règlement Dublin III ne se justifie pas en l'occurrence. Cela étant,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 autre manière porte atteinte à ses droits fondamentaux, il lui appartiendrait de faire valoir ses droits directement auprès des autorités de ce pays en usant des voies de droit adéquates (art. 26 directive Accueil ; cf. arrêt du TAF E-5279/2022 du 25 mars 2023 consid. 7.7).</w:t>
      </w:r>
    </w:p>
    <w:p>
      <w:r>
        <w:rPr>
          <w:b/>
        </w:rPr>
        <w:t>E. 5</w:t>
      </w:r>
    </w:p>
    <w:p>
      <w:r>
        <w:t>Pour s'opposer à son transfert en Croatie, le recourant a, en substance, fait valoir qu'il avait été maltraité par les autorités croates lors de son arrestation. A cet égard, il a précisé qu'après son interpellation, il avait été retenu pendant deux nuits, sans eau ni nourriture, puis dans la promiscuité avec d'autres requérants, qu'il avait été battu par des policiers, qu'on l'avait dépossédé de ses biens et qu'il avait été enfin relâché en pleine nuit sans avoir été orienté. Au vu des éléments précités, l'intéressé a sollicité l'application d'une des clauses discrétionnaires prévues à l'art. 17 du règlement Dublin III, à savoir celle retenue par le par. 1 de cette disposition (clause de souveraineté).</w:t>
      </w:r>
    </w:p>
    <w:p>
      <w:r>
        <w:rPr>
          <w:b/>
        </w:rPr>
        <w:t>E. 5.1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être amené à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et 2017 VI/5 consid. 8.5.2 ; arrêt TAF F-5470/2018 du 28 janvier 2019 consid. 6.2).</w:t>
      </w:r>
    </w:p>
    <w:p>
      <w:r>
        <w:rPr>
          <w:b/>
        </w:rPr>
        <w:t>E. 5.2</w:t>
      </w:r>
    </w:p>
    <w:p>
      <w:r>
        <w:t>En l'espèce, aucun élément du dossier ne permet de considérer que le transfert du recourant vers la Croatie violerait les obligations de la Suisse issues du droit international ou qu'il existe des raisons humanitaires pour que la responsabilité de traiter sa demande d'asile échoit à ce dernier pays. En particulier, l'intéressé n'a pas fait état de relations étroites, relevant du domaine de l'art. 8 CEDH, avec une personne en Suisse. En outre, le recourant n'a ni démontré ni même rendu vraisemblable que ses conditions d'existence en Croatie revêtiraient un tel degré de pénibilité et de gravité qu'elles seraient constitutives d'un traitement contraire à l'art. 3 CEDH ou 3 Conv. torture, les critiques qu'il a émises à cet égard se limitant à de simples allégations et n'atteignant pas un degré de gravité indiquant qu'il faille que le Tribunal s'y arrête. En outre, dans la série de dix vidéos que le recourant a produit à l'aide d'une clé USB jointe en annexe à son recours, la plupart concerne des scènes apparemment en lien avec des opérations militaires dans un autre contexte et sans rapport avec le traitement des migrants par les autorités croates et aucune ne permet de conclure à des mauvais traitements systématiques, ou ciblant en particulier le recourant lors de son arrivée en Croatie. Enfin, les allégations du recourant à ce propos ne sont toutefois pas décisives quant à la conformité de son transfert au regard des art. 3 CEDH et 3 Conv. torture. Il n'existe en effet aucune raison concrète et sérieuse d'admettre que son transfert en Croatie, organisé dans le cadre du règlement Dublin III, risquerait de l'exposer à une situation similaire à celle qu'il dit avoir connue après son interpellation en zone frontalière en tant que personne étrangère en situation irrégulière. Le risque de retraumatisation en cas de transfert en Croatie évoqué dans le recours peut dès lors être écarté.</w:t>
      </w:r>
    </w:p>
    <w:p>
      <w:r>
        <w:rPr>
          <w:b/>
        </w:rPr>
        <w:t>E. 5.3</w:t>
      </w:r>
    </w:p>
    <w:p>
      <w:r>
        <w:t>Selon les documents médicaux figurant au dossier, le recourant présente des plaintes relatives à une hématospermie, à une importante nycturie ainsi qu'à une pollakiurie. Les résultats des investigations menées à ce jour plaident en faveur d'une prostatite chronique et un traitement médicamenteux ciblé (i.e. Alfuzosine) a été mis en place pour une durée d'un mois à compter du 8 septembre 2023. Dans ces conditions, il y a lieu de considérer que les affections médicales dont est atteint le recourant n'atteignent pas une gravité telle qu'il se justifierait de renoncer à son transfert vers la Croatie conformément à la jurisprudence restrictive de la CourEDH en la matière (cf., à ce sujet, arrêt Paposhvili c. Belgique du 13 décembre 2016, GC, requête n° 41738/10). En effet, sans minimiser la symptomatologie que présente l'intéressé, les atteintes dont il souffre ne sont pas révélatrices de maladies d'une gravité ou d'une spécificité telle qu'elles ne pourraient pas être traitées en Croatie.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w:t>
      </w:r>
    </w:p>
    <w:p>
      <w:r>
        <w:rPr>
          <w:b/>
        </w:rPr>
        <w:t>E. 5.4</w:t>
      </w:r>
    </w:p>
    <w:p>
      <w:r>
        <w:t>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Par conséquent, le recours doit être rejeté. S'avérant manifestement infondé, il l'est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Compte tenu de la fin du litige, les mesures superprovisionnelles prononcées par ordonnance du 14 septembre 2023 sont caduques.</w:t>
      </w:r>
    </w:p>
    <w:p>
      <w:r>
        <w:rPr>
          <w:b/>
        </w:rPr>
        <w:t>E. 7</w:t>
      </w:r>
    </w:p>
    <w:p>
      <w:r>
        <w:t>Les conclusions du recours étant d'emblée vouées à l'échec, la requête d'assistance judiciaire est rejetée (art. 65 al. 1 PA et 102m al. 1 LAsi).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