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F-4894/2025 vom 15. Juli 2025</w:t>
      </w:r>
    </w:p>
    <w:p>
      <w:r>
        <w:t>Bundesverwaltungsgericht, 2025-07-15, DE</w:t>
      </w:r>
    </w:p>
    <w:p>
      <w:r>
        <w:rPr>
          <w:b/>
        </w:rPr>
        <w:t xml:space="preserve">Quelle: </w:t>
      </w:r>
      <w:r>
        <w:t>https://mcp.opencaselaw.ch/entscheid/bvger_F-4894_2025</w:t>
      </w:r>
    </w:p>
    <w:p>
      <w:r>
        <w:t>FR: TAF F-4894/2025 du 15 juillet 2025</w:t>
      </w:r>
    </w:p>
    <w:p>
      <w:r>
        <w:t>IT: TAF F-4894/2025 del 15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3</w:t>
      </w:r>
    </w:p>
    <w:p>
      <w:r>
        <w:t>Vorab ist festzuhalten, dass das zweite Asylgesuch des Beschwerdeführers vom 13. Mai 2025 von der Vorinstanz zu Recht als Mehrfachgesuch im Sinne von Art. 111c Abs. 1 AsylG qualifiziert worden ist. Auf das erste Asylgesuch vom 21. Juni 2024 wurde mit Entscheid der Vorinstanz vom 3. September 2024 nicht eingetreten (rechtskräftig bestätigt mit Urteil des BVGer F-5720/2024 vom 16. Dezember 2024). Die Einreichung des schriftlichen und begründeten zweiten Asylgesuchs erfolgte damit innert fünf Jahren nach Rechtskraft der letzten Nichteintretensverfügung.</w:t>
      </w:r>
    </w:p>
    <w:p>
      <w:r>
        <w:rPr>
          <w:b/>
        </w:rPr>
        <w:t>E. 4.1</w:t>
      </w:r>
    </w:p>
    <w:p>
      <w:r>
        <w:t>Sodann sind zunächst die formellen Rügen des Beschwerdeführers zu beurteilen, da sie gegebenenfalls geeignet sind, eine Kassation der vorinstanzlichen Verfügung zu bewirken. Der Beschwerdeführer macht insoweit geltend, die Vorinstanz habe ihre Aktenführungs- und Begründungspflicht verletzt, da sich die in der angefochtenen Verfügung vom 20. Juni 2025 in Bezug genommenen Abklärungen und Berichte der Schweizerischen Botschaft in Kroatien, insbesondere ein Bericht aus dem März 2022, nicht bei den Akten befinden würden. Darüber hinaus habe die Vorinstanz mit dem Beschwerdeführer vor Erlass der angefochtenen Verfügung vom 20. Juni 2025 kein persönliches Gespräch gemäss Art. 5 Abs. 1 Dublin-III-VO geführt. Mit diesen Vorbringen macht der Beschwerdeführer Verletzungen des rechtlichen Gehörs geltend.</w:t>
      </w:r>
    </w:p>
    <w:p>
      <w:r>
        <w:rPr>
          <w:b/>
        </w:rPr>
        <w:t>E. 4.2</w:t>
      </w:r>
    </w:p>
    <w:p>
      <w:r>
        <w:t>Gemäss Art. 29 Abs. 2 BV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m.w.H.).</w:t>
      </w:r>
    </w:p>
    <w:p>
      <w:r>
        <w:rPr>
          <w:b/>
        </w:rPr>
        <w:t>E. 4.3</w:t>
      </w:r>
    </w:p>
    <w:p>
      <w:r>
        <w:t>Die Aktenführungspflicht bildet das Gegenstück zum Akteneinsichtsrecht, welches in Art. 26 ff. VwVG geregelt ist und einen Teilgehalt des Anspruchs auf rechtliches Gehör darstellt. Die Behörde ist verpflichtet, ein vollständiges Aktendossier über das Verfahren zu führen, um gegebenenfalls ordnungsgemäss Akteneinsicht zu gewähren und bei einem Weiterzug diese Unterlagen an die Rechtsmittelinstanz weiterleiten zu können (BGE 138 V 218 E. 8.1.2). Die Aktenführung beinhaltet insbesondere die geordnete Ablage, die Paginierung und die Registrierung der vollständigen Akten im Aktenverzeichnis. Gegenstand der Aktenführungspflicht sind sämtliche Akten, wogegen massgeblich für den Einsichtsanspruch deren Relevanz für die Entscheidfindung ist (vgl. dazu BVGE 2011/37 E. 5.4.1).</w:t>
      </w:r>
    </w:p>
    <w:p>
      <w:r>
        <w:rPr>
          <w:b/>
        </w:rPr>
        <w:t>E. 4.4</w:t>
      </w:r>
    </w:p>
    <w:p>
      <w:r>
        <w:t>Aus dem Anspruch auf rechtliches Gehör folgt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w:t>
      </w:r>
    </w:p>
    <w:p>
      <w:r>
        <w:rPr>
          <w:b/>
        </w:rPr>
        <w:t>E. 4.5</w:t>
      </w:r>
    </w:p>
    <w:p>
      <w:r>
        <w:t>Die Vorinstanz hat weder ihre Aktenführungs- noch ihre Begründungspflicht verletzt. Auch war sie nicht verpflichtet, vor Erlass der angefochtenen Verfügung vom 20. Juni 2025 mit dem Beschwerdeführer ein persönliches Gespräch gemäss Art. 5 Abs. 1 Dublin-III-VO zu führen.</w:t>
      </w:r>
    </w:p>
    <w:p>
      <w:r>
        <w:rPr>
          <w:b/>
        </w:rPr>
        <w:t>E. 4.5.1</w:t>
      </w:r>
    </w:p>
    <w:p>
      <w:r>
        <w:t>Da im vorliegenden Verfahren keine individuellen Botschaftsabklärungen durchgeführt beziehungsweise keine individuellen Botschaftsberichte eingeholt wurden, sind in den vorinstanzlichen Akten keine entsprechenden Aktenstücke vorhanden (vgl. hierzu Urteil des BVGer D-280/2023 vom 4. Mai 2023 E. 7.5). Die Vorinstanz bezog sich in ihren Erwägungen auf das Referenzurteil des Bundesverwaltungsgerichts E-1488/2022 vom 22. März 2023 und die darin referenzierten Abklärungen der Schweizerischen Botschaft in Kroatien. Die Vorinstanz hat die Vorbringen des Beschwerdeführers bezüglich der Lage in Kroatien angemessen berücksichtigt, beziehungsweise rechtsgenügend in ihren Entscheid einbezogen. Sie macht in der angefochtenen Verfügung sowohl Ausführungen zur Situation von Personen, welche gestützt auf die Dublin-III-VO von der Schweiz nach Kroatien überstellt werden im Allgemeinen als auch zur Situation des Beschwerdeführers im Besonderen. Sie äussert sich dabei insbesondere in rechtsgenüglicher Weise zum Zugang zum Asylverfahren in Kroatien, zur Frage von Kettenabschiebungen, zu systematischer Gewaltanwendung seitens der kroatischen Polizei und dem Zugang zu wirksamen Rechtsmitteln. Dem Beschwerdeführer ist eine sachgerechte Anfechtung der vorinstanzlichen Verfügung folglich möglich gewesen. Damit ist weder eine Verletzung der Aktenführungspflicht vor noch ist eine Verletzung der Begründungspflicht ersichtlich. Eine Gehörsverletzung liegt insoweit nicht vor.</w:t>
      </w:r>
    </w:p>
    <w:p>
      <w:r>
        <w:rPr>
          <w:b/>
        </w:rPr>
        <w:t>E. 4.5.2</w:t>
      </w:r>
    </w:p>
    <w:p>
      <w:r>
        <w:t>Das persönliche Gespräch nach Art. 5 Abs. 1 Dublin-III-VO ist grundsätzlich in Form einer persönlichen Anhörung durchzuführen (vgl. Urteile des BVGer F-3788/2022 vom 20. September 2022 E. 3.4.2 und F-2619/2022 vom 24. Juni 2022 E. 5.3 m.H.). Auf ein persönliches Gespräch kann gemäss Art. 5 Abs. 2 Bst. a Dublin-III-VO verzichtet werden, wenn die antragstellende Person flüchtig ist oder nach Art. 5 Abs. 2 Bst. b Dublin-III-VO, wenn sie die sachdienlichen Angaben bereits gemacht hat, sodass der zuständige Mitgliedstaat auf andere Weise bestimmt werden kann. Im letzteren Fall gibt der Mitgliedstaat, der auf das Gespräch verzichtet, dem Antragsteller Gelegenheit, alle weiteren sachdienlichen Informationen vorzulegen, bevor eine Entscheidung über seine Überstellung in den zuständigen Mitgliedstaat ergeht. Da die Zuständigkeit im vorliegenden Fall bereits im ersten Dublin-Verfahren im Jahr 2024 bestimmt wurde und die Vorinstanz hinsichtlich der Zuständigkeit nicht von einer veränderten Sachlage ausging, gewährte sie dem Beschwerdeführer im Sinne von Art. 5 Abs. 2 Bst. b Dublin-III-VO mit Schreiben 16. Mai 2025 die Gelegenheit, schriftlich weitere sachdienliche Informationen vorzulegen und Gründe vorzubringen, die gegen die Zuständigkeit Kroatiens beziehungsweise gegen die Überstellung in diesen Mitgliedstaat sprechen. Davon machte er mit Schreiben vom 26. Mai 2025 Gebrauch. Ein persönliches Gespräch gemäss Art. 5 Abs. 1 Dublin-III-VO war darüber hinaus mit dem Beschwerdeführer nicht mehr durchzuführen. Die Vorinstanz ist insoweit korrekt vorgegangen und hat den Anspruch des Beschwerdeführers auf rechtliches Gehör nicht verletzt.</w:t>
      </w:r>
    </w:p>
    <w:p>
      <w:r>
        <w:rPr>
          <w:b/>
        </w:rPr>
        <w:t>E. 4.6</w:t>
      </w:r>
    </w:p>
    <w:p>
      <w:r>
        <w:t>Die formellen Rügen des Beschwerdeführers sind unbegründet. Es besteht keine Veranlassung, die Sache zur weiteren Sachverhaltsabklärung und Neubeurteilung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 Nichts anderes gilt für ausreichend begründete Mehrfachgesuche wie das vorliegende (Weisung SEM Ziff. 5.1.2.2; ungenügend begründete Mehrfachgesuche werden formlos abgeschrieben [Art. 111c Abs. 2 AsylG] und das SEM erlässt einen Wegweisungsentscheid gestützt auf Art. 64a AIG).</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Gemäss Eurodac-Treffer sowie rechtskräftigem Bundesverwaltungsgerichtsurteil F-5720/2024 vom 16. Dezember 2024 hat der Beschwerdeführer in Kroatien um Asyl ersucht. Die kroatischen Behörden stimmten dem Wiederaufnahmegesuch der Vorinstanz am 20. Mai 2025 gestützt auf Art. 18 Abs. 1 Bst. b Dublin-III-VO zu. Die grundsätzliche Zuständigkeit Kroatiens ist demnach gegeben.</w:t>
      </w:r>
    </w:p>
    <w:p>
      <w:r>
        <w:rPr>
          <w:b/>
        </w:rPr>
        <w:t>E. 7.1</w:t>
      </w:r>
    </w:p>
    <w:p>
      <w:r>
        <w:t>Die Vorinstanz hat korrekt erwogen,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in seinen Heimatstaat überstellt würde, und dass keine konkreten Hinweise dafür vorliegen, dass er bei einer Rückkehr nach Kroatien in eine existenzielle Notlage geraten würde. Die Vorinstanz hat den Gesundheitszustand des Beschwerdeführers hinreichend abgeklärt und gewürdigt und insbesondere berücksichtigt, dass ihm in Kroatien der Zugang zu medizinischer Notfallversorgung und unbedingt erforderlichen Behandlungen von Krankheiten offensteht. Darüber hinaus hat sie in rechtsfehlerfreier Ausübung des ihr nach Art. 17 Abs. 1 Dublin-III-VO und Art. 29a Abs. 3 der Asylverordnung 1 vom 11. August 1999 (AsylV 1, SR 142.311) zukommenden Ermessens von einem freiwilligen Selbsteintritt der Schweiz abgesehen. Die Vorinstanz ist demnach zu Recht in Anwendung von Art. 31a Abs. 1 Bst. b AsylG auf das Mehrfachgesuch des Beschwerdeführers nicht eingetreten und hat in Anwendung von Art. 44 AsylG dessen Wegweisung nach Kroatien angeordnet. Zur näheren Begründung wird auf die korrekten vorinstanzlichen Erwägungen sowie das ausführliche Urteil des Bundesverwaltungsgerichts F-5720/2024 vom 16. Dezember 2024 verwiesen.</w:t>
      </w:r>
    </w:p>
    <w:p>
      <w:r>
        <w:rPr>
          <w:b/>
        </w:rPr>
        <w:t>E. 7.2</w:t>
      </w:r>
    </w:p>
    <w:p>
      <w:r>
        <w:t>Dass der Beschwerdeführer auf Rechtsmittelebene unsubstantiiert vorbringt, in Kroatien Gewalt von staatlichen Organen ausgesetzt gewesen zu sein, vermag an der Richtigkeit der vorinstanzlichen Verfügung nichts zu ändern. Ebenso wenig vermögen dies seine allgemeinen und pauschalen Hinweise hinsichtlich systemischer Schwachstellen im kroatischen Asylverfahren, katastrophaler Unterbringungsbedingungen, erschwertem Zugang zur Gesundheitsversorgung und Polizeigewalt gegenüber Schutzsuchenden. Mangels systemischer Mängel im Sinne von Art. 3 Abs. 2 Dublin-III-VO kann davon ausgegangen werden, dass Kroatien seinen völker- und gemeinschaftsrechtlichen Verpflichtungen gegenüber Personen in der Situation des Beschwerdeführers nachkommt und insbesondere auch die Rechte respektiert und schützt, die sich aus der sogenannten Verfahrens- und Aufnahmerichtlinie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Urteile des BVGer F-3533/2024 vom 16. Juli 2024 E. 2.2; F-1883/2023 vom 12. April 2023 E 8.2). Entsprechend kann sich der Beschwerdeführer bei allfälligen vorübergehenden Einschränkungen dieser Rechte an die kroatischen Behörden wenden und seine Rechte auf dem Rechtsweg einfordern (vgl. Art. 26 Aufnahmerichtlinie). Auch der Beschwerdeeingabe sind keine konkreten Gründe für die Annahme zu entnehmen, Kroatien werde in seinem Fall den Grundsatz des Non-Refoulement missachten und ihn zur Ausreise in ein Land zwingen, in dem sein Leib, sein Leben oder seine Freiheit im Sinne von Art. 3 Abs. 1 AsylG gefährdet wäre oder in dem er Gefahr laufen würde, zur Ausreise in ein solches Land gezwungen zu werden.</w:t>
      </w:r>
    </w:p>
    <w:p>
      <w:r>
        <w:rPr>
          <w:b/>
        </w:rPr>
        <w:t>E. 7.3</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Ausweislich des ärztlichen Berichts der Psychiatrie C._______ vom 20. Mai 2025 ist beim Beschwerdeführer eine posttraumatische Belastungsstörung und eine mindestens mittelschwere depressive Episode diagnostiziert (SEM-act. 9/6). Diese gesundheitlichen Beeinträchtigungen des Beschwerdeführers sind nicht von derartiger Schwere, dass sie nach dem dargelegten strengen Massstab eine drohende Verletzung von Art. 3 EMRK zu begründen vermöchten. Zudem könnten sie in Kroatien behandelt werden, das rechtsprechungsgemäss grundsätzlich über eine ausreichende medizinische Infrastruktur verfügt (vgl. Urteil des BVGer D-735/2022 vom 28. Februar 2022 E. 6.7.3). Der Beschwerdeführer führt weiter unter Bezugnahme auf den ärztlichen Bericht der Psychiatrie C._______ vom 20. Mai 2025 an, eine Rückführung nach Kroatien würde für ihn eine erhebliche psychische Belastung bedeuten und das Risiko einer Selbstgefährdung deutlich erhöhen. Gemäss konstanter Praxis des Bundesverwaltungsgerichts können Suiziddrohungen für sich alleine den Vollzug einer Wegweisung nicht in Frage stellen, solange konkrete Massnahmen zur Verhütung der Umsetzung einer Drohung getroffen werden (vgl. statt vieler Urteil E-1307/2025 vom 13. März 2025 E. 7.2.5 m.H.). Auch nach bundesgerichtlicher Rechtsprechung stellt Suizidalität für sich allein kein Vollzugshindernis dar (vgl. Urteile des BGer 2C_221/2020 vom 19. Juni 2020 E. 2 oder 2C_856/2015 vom 10. Oktober 2015 E. 3.2.1). Allfälligen suizidalen Tendenzen ist im Hinblick auf einen zwangsweisen Wegweisungsvollzug durch geeignete medizinische Massnahmen und Betreuung entgegenzuwirken. Eine sorgfältige Vorbereitung der Rückkehr des Beschwerdeführers wird es ihm ermöglichen, die hinsichtlich seiner Gesundheitsprobleme benötigte ärztliche Versorgung zu organisieren respektive einzufordern. Eine Überstellung verstösst demnach auch in dieser Hinsicht nicht gegen Art. 3 EMRK. Die Vorinstanz ist indes anzuweisen, den medizinischen Umständen bei der Bestimmung der konkreten Modalitäten der Überstellung des Beschwerdeführers Rechnung zu tragen und sicherzustellen, dass die kroatischen Behörden vorgängig in geeigneter Weise über die spezifischen Umstände informiert werden (Art. 31 f. Dublin-III-VO).</w:t>
      </w:r>
    </w:p>
    <w:p>
      <w:r>
        <w:rPr>
          <w:b/>
        </w:rPr>
        <w:t>E. 8</w:t>
      </w:r>
    </w:p>
    <w:p>
      <w:r>
        <w:t>Aus den vorstehenden Erwägungen ergibt sich, dass die angefochtene Verfügung vom 20. Juni 2025 nicht zu beanstanden und die Beschwerde abzuweisen ist.</w:t>
      </w:r>
    </w:p>
    <w:p>
      <w:r>
        <w:rPr>
          <w:b/>
        </w:rPr>
        <w:t>E. 9</w:t>
      </w:r>
    </w:p>
    <w:p>
      <w:r>
        <w:t>Mit vorliegendem Urteil wird der Antrag auf Erteilung der aufschiebenden Wirkung gegenstandslos und fällt der am 7. Juli 2025 verfügte Vollzugsstopp dahin.</w:t>
      </w:r>
    </w:p>
    <w:p>
      <w:r>
        <w:rPr>
          <w:b/>
        </w:rPr>
        <w:t>E. 10</w:t>
      </w:r>
    </w:p>
    <w:p>
      <w:r>
        <w:t>Das Gesuch um unentgeltliche Rechtspflege ist abzuweisen, da die Begehren - wie sich aus den vorstehenden Erwägungen ergibt - als aussichtslos zu bezeichnen sind und dies auch im Zeitpunkt der Gesuchstellung waren. 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