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F-4894/2016 vom 29. März 2018</w:t>
      </w:r>
    </w:p>
    <w:p>
      <w:r>
        <w:t>Bundesverwaltungsgericht, 2018-03-29, FR</w:t>
      </w:r>
    </w:p>
    <w:p>
      <w:r>
        <w:rPr>
          <w:b/>
        </w:rPr>
        <w:t xml:space="preserve">Quelle: </w:t>
      </w:r>
      <w:r>
        <w:t>https://mcp.opencaselaw.ch/entscheid/bvger_F-4894_2016</w:t>
      </w:r>
    </w:p>
    <w:p>
      <w:r>
        <w:t>FR: TAF F-4894/2016 du 29 mars 2018</w:t>
      </w:r>
    </w:p>
    <w:p>
      <w:r>
        <w:t>IT: TAF F-4894/2016 del 29 marzo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à l'approbation du SEM en conformité avec la législation et la jurisprudence (à ce sujet, cf. ATF 141 II 169 consid. 4). Il s'ensuit que le SEM et, a fortiori, le Tribunal ne sont pas liés par la décision de l'OCPM de renouveler l'autorisation de séjour du recourant et peuvent parfaitement s'écarter de l'appréciation faite par cette autorité.</w:t>
      </w:r>
    </w:p>
    <w:p>
      <w:r>
        <w:rPr>
          <w:b/>
        </w:rPr>
        <w:t>E. 4.1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TF 2C_1085/2015 du 23 mai 2016 consid. 3.1 et l'arrêt du TAF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 Spescha et al., Migrationsrecht, 4ème édition, 2015, ad art. 42 n° 9).</w:t>
      </w:r>
    </w:p>
    <w:p>
      <w:r>
        <w:rPr>
          <w:b/>
        </w:rPr>
        <w:t>E. 4.2</w:t>
      </w:r>
    </w:p>
    <w:p>
      <w:r>
        <w:t>En l'espèce, à l'examen du dossier, il appert que les époux A._______ et B._______ ont conclu mariage le 13 décembre 2010 et qu'ils ont fait ménage commun en Suisse dès le 15 juin 2011. Les prénommés se sont séparés au plus tard en décembre 2013 (cf. le consid. 5.2 ci-après) et en date du 23 juin 2016, le Tribunal de première instance du canton de Genève a dissout par le divorce le mariage contracté A._______ et son épouse. Dans ces conditions, le recourant ne saurait de toute évidence pas invoquer l'art. 42 al. 1 et 3 LEtr, il ne prétend au demeurant pas le contraire.</w:t>
      </w:r>
    </w:p>
    <w:p>
      <w:r>
        <w:rPr>
          <w:b/>
        </w:rPr>
        <w:t>E. 5</w:t>
      </w:r>
    </w:p>
    <w:p>
      <w:r>
        <w:t>Il convient dès lors d'examiner si l'intéressé peut se prévaloir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138 II 229 consid. 2 et ATF 136 II 113 consid. 3.3.5), à savoir sur la durée extérieurement perceptible du domicile matrimonial commun (cf. notamment ATF 137 II 345 consid. 3.1.2).</w:t>
      </w:r>
    </w:p>
    <w:p>
      <w:r>
        <w:rPr>
          <w:b/>
        </w:rPr>
        <w:t>E. 5.2</w:t>
      </w:r>
    </w:p>
    <w:p>
      <w:r>
        <w:t>En l'occurrence, force est de constater que la communauté conjugale des époux A._______ et B._______ a duré moins de trois ans depuis le début de la vie commune en Suisse le 15 juin 2011 jusqu'à leur séparation de fait intervenue en 2013. A cet égard, le Tribunal observe que le recourant a affirmé, à deux reprises, que la séparation était intervenue en été 2013, soit dans son courriel adressé à l'autorité cantonale en date du 14 septembre 2015, ainsi que dans son mémoire de recours daté du 9 août 2016. Il ressort par ailleurs des pièces figurant au dossier, et en particulier de la requête commune de divorce versée au dossier par l'ex-épouse de l'intéressé en date du 4 novembre 2015, que le dernier domicile commun des ex-conjoints était à Bienne, de sorte qu'ils ont cessé de faire ménage commun au plus tard le 13 décembre 2013, date de leur départ de la ville de Bienne (cf. l'annonce de départ du 13 décembre 2013). Enfin, l'ex-épouse du recourant a confirmé, dans son courrier du 4 novembre 2014, que les époux étaient séparés depuis le début de l'année 2014. Au vu des éléments qui précèdent, il y a lieu de retenir que la vie commune des époux A._______ et B._______ a pris fin en décembre 2013 au plus tard, de sorte que leur communauté conjugale a duré moins de trois ans.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Partant, A._______ ne saurait invoquer l'art. 50 al. 1 let. a LEtr pour revendiquer le renouvellement de son autorisation de séjour, il ne prétend d'ailleurs pas le contraire.</w:t>
      </w:r>
    </w:p>
    <w:p>
      <w:r>
        <w:rPr>
          <w:b/>
        </w:rPr>
        <w:t>E. 6</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de l'ordonnance du 24 octobre 2007 relative à l'admission, au séjour et à l'exercice d'une activité lucrative [OASA, RS 142.201], qui reprend la teneur de l'art. 50 al. 2 LEtr).</w:t>
      </w:r>
    </w:p>
    <w:p>
      <w:r>
        <w:rPr>
          <w:b/>
        </w:rPr>
        <w:t>E. 6.2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ATF 138 II 229 consid. 3.1 et ATF 137 II 345 consid. 3.2.3).</w:t>
      </w:r>
    </w:p>
    <w:p>
      <w:r>
        <w:rPr>
          <w:b/>
        </w:rPr>
        <w:t>E. 6.3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7</w:t>
      </w:r>
    </w:p>
    <w:p>
      <w:r>
        <w:t>En l'occurrence, il convient également de tenir compte du droit au respect de la vie familiale, garanti par l'art. 8 CEDH. Une raison personnelle majeure peut en effet en particulier découler d'une relation digne de protection avec un enfant qui a le droit de séjourner en Suisse (cf. notamment ATF 139 I 315 consid. 2.1 et les arrêts du TF 2C_520/2016 du 13 janvier 2017 consid. 4.1 et 2C_516/2015 du 28 décembre 2015 consid. 4.1).</w:t>
      </w:r>
    </w:p>
    <w:p>
      <w:r>
        <w:rPr>
          <w:b/>
        </w:rPr>
        <w:t>E. 7.1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7.2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et les arrêts du TF 2C_786/2016 du 5 avril 2017 consid. 3.2.1, 2C_520/2016 consid. 4.2 et 2C_516/2015 consid. 4.2, ainsi que la jurisprudence citée).</w:t>
      </w:r>
    </w:p>
    <w:p>
      <w:r>
        <w:rPr>
          <w:b/>
        </w:rPr>
        <w:t>E. 7.3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et ATF 139 I 315 consid. 2.5, ainsi que l'arrêt du TF 2C_520/2016 consid. 4.2 et la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que le Tribunal fédéral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ainsi que l'arrêt du TF 2C_794/2014 du 23 janvier 2015 consid. 3.2 et la jurisprudence citée).</w:t>
      </w:r>
    </w:p>
    <w:p>
      <w:r>
        <w:rPr>
          <w:b/>
        </w:rPr>
        <w:t>E. 7.4</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2C_395/2012 du 9 juillet 2012 consid. 5.1 in fine et 2C_325/2010 du 11 octobre 2010 consid. 5.2.3).</w:t>
      </w:r>
    </w:p>
    <w:p>
      <w:r>
        <w:rPr>
          <w:b/>
        </w:rPr>
        <w:t>E. 7.5</w:t>
      </w:r>
    </w:p>
    <w:p>
      <w:r>
        <w:t>Le Tribunal fédéral a précisé que la jurisprudence relative à la situation du parent étranger qui n'a pas l'autorité parentale ni la garde de l'enfant ayant le droit de résider durablement en Suisse ne s'appliquait pas telle quelle à la situation de l'étranger ne faisant plus ménage commun avec son conjoint, mais ayant encore l'autorité parentale sur leur enfant mineur sans en avoir la garde, du moins pas sans aménagement dans la pesée des intérêts, notamment sous l'angle de l'ordre public. Le Tribunal fédéral a ainsi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(cf. ATF 140 I 145 consid. 4.1 et les arrêts du TF 2C_786/2016 consid. 3.2.1, 2C_635/2016 du 17 mars 2017 consid. 2.1.3 et 2C_723/2014 du 6 août 2015 consid. 2).</w:t>
      </w:r>
    </w:p>
    <w:p>
      <w:r>
        <w:rPr>
          <w:b/>
        </w:rPr>
        <w:t>E. 8</w:t>
      </w:r>
    </w:p>
    <w:p>
      <w:r>
        <w:t>En l'espèce, le recourant, qui est père d'une fille de nationalité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 dans le cas particulier.</w:t>
      </w:r>
    </w:p>
    <w:p>
      <w:r>
        <w:rPr>
          <w:b/>
        </w:rPr>
        <w:t>E. 8.1</w:t>
      </w:r>
    </w:p>
    <w:p>
      <w:r>
        <w:t>En premier lieu, il sied d'examiner si la relation affective que le recourant entretient avec sa fille peut être qualifiée de particulièrement forte au sens de la jurisprudence mentionnée au consid. 7.3 supra. A cet égard, le Tribunal constate que le jugement de divorce du 23 juin 2016 prévoit que l'autorité parentale sur C._______ demeure conjointe et accorde un droit de visite au père qui s'exerce d'entente entre les parents, mais au minimum une journée par semaine, un weekend sur deux et pendant la moitié des vacances scolaires. En outre, au vu des pièces figurant au dossier, il appert que malgré la séparation des parents, le recourant a toujours maintenu une relation étroite avec sa fille et s'est très régulièrement occupé d'elle, soit notamment durant la journée lorsque son ex-épouse travaillait et C._______ n'était pas encore scolarisée (cf. le courrier de l'ex-épouse du 7 août 2016). Par la suite, il a accueilli sa fille à son domicile à raison d'une journée complète et d'une soirée par semaine (cf. le courrier de l'ex-épouse du 4 novembre 2015). Selon la communication du recourant du 9 novembre 2017, il voit sa fille actuellement tous les weekends et s'occupe par ailleurs occasionnellement d'elle à la sortie de l'école. En outre, selon les déclarations de l'ex-épouse, l'intéressé « est un père disponible, affectueux et dévoué à son enfant » et entretient avec sa fille des liens très étroits (cf. le courrier du 7 août 2016). Au regard de l'ensemble des éléments qui précèdent, et eu égard en particulier à l'autorité parentale conjointe, au large droit de visite dont bénéficie le recourant et à l'effectivité de l'exercice de ses relations personnelles avec sa fille, le Tribunal estime qu'il y a lieu de retenir que A._______ entretient avec C._______ des liens affectifs particulièrement forts au sens de la jurisprudence mentionnée plus haut (cf. consid. 7.3 supra). Cette appréciation ne saurait être modifiée par les absences temporaires du recourant qui s'est régulièrement rendu au Canada durant plusieurs semaines (cf. notamment son courriel du 14 septembre 2015), compte tenu de la nature temporaire de ses déplacements, de l'intensité de la relation entretenue par l'intéressé et sa fille durant sa présence en Suisse, ainsi que du but visé par les séjours temporaires au Canada durant lesquels le recourant travaillait pour contribuer à l'entretien de sa famille.</w:t>
      </w:r>
    </w:p>
    <w:p>
      <w:r>
        <w:rPr>
          <w:b/>
        </w:rPr>
        <w:t>E. 8.2</w:t>
      </w:r>
    </w:p>
    <w:p>
      <w:r>
        <w:t>Cela étant, sur le plan économique, force est de constater que le recourant ne contribue pas régulièrement à l'entretien de sa fille. Il n'est pas contesté que durant les premières années suivant la séparation des époux, A._______ ne versait aucune pension en faveur de sa fille, puisqu'il était sans emploi (cf. notamment le courrier de l'ex-épouse de l'intéressé du 4 novembre 2015). Certes, dans le cadre de la procédure de divorce, A._______ s'est engagé à participer à l'entretien de sa fille par le versement mensuel d'une somme de Fr. 600.- (cf. le jugement de divorce du 23 juin 2016 p. 2 pt. 5). Le recourant n'a cependant versé au dossier aucun moyen de preuve probant susceptible de démontrer qu'il s'acquitte effectivement de cette contribution d'entretien. Le courrier de l'ex-épouse de l'intéressé du 27 novembre 2017 selon lequel le recourant participe à l'entretien de sa fille ne saurait être décisif à cet égard, puisqu'il ne fait mention d'aucun montant concret et que sa valeur probante doit par ailleurs être fortement relativisée. Aussi, compte tenu de sa situation professionnelle et financière et eu égard en particulier au fait qu'il est totalement assisté par les services de l'aide sociale depuis le 1er juin 2016 (cf. l'attestation de l'Hospice général du 5 décembre 2017), il paraît peu vraisemblable que le recourant contribue de manière substantielle à l'entretien de sa fille. A cet égard, le recourant a en particulier mis en avant sa situation professionnelle et financière précaire, en arguant qu'il n'avait pas été en mesure de trouver un emploi faute d'autorisation de séjour valable. A ce sujet, il sied cependant de rappeler que selon la jurisprudence du Tribunal fédéral, la raison pour laquelle l'intéressé ne participe pas à l'entretien de son enfant n'est en principe pas déterminante. Afin d'apprécier l'intensité du lien économique, seul compte en définitive le fait que la pension ne soit pas versée. Cette question est en effet appréciée de manière objective. Certes, le Tribunal fédéral admet que les exigences relatives à l'étendue de la relation que l'étranger doit entretenir avec son enfant d'un point de vue affectif et économique doivent rester dans l'ordre du possible et du raisonnable (cf. par exemple l'arrêt du TF 2C_786/2016 consid. 3.2.1 et les références citées). Cependant, compte tenu notamment de la durée du séjour du recourant en Suisse, du fait qu'il est jeune et en bonne santé et qu'il lui était par ailleurs loisible d'obtenir, auprès de l'autorité cantonale compétente, l'autorisation de travailler, étant donné qu'il était autorisé à séjourner en Suisse durant la procédure relative au renouvellement de son autorisation de séjour (art. 59 al. 2 OASA, voir en ce sens l'arrêt du TF 2C_1154/2016 du 25 août 2017 consid. 2.3 et références citées), le Tribunal estime que sa situation lui est du moins partiellement imputable (dans le même sens, cf. l'arrêt du TF 2C_522/2015 du 12 mai 2016 consid. 4.4.1). Dans ces conditions, il y a lieu de retenir que la condition relative à la relation économique étroite n'est pas réalisée dans le cas particulier.</w:t>
      </w:r>
    </w:p>
    <w:p>
      <w:r>
        <w:rPr>
          <w:b/>
        </w:rPr>
        <w:t>E. 8.3</w:t>
      </w:r>
    </w:p>
    <w:p>
      <w:r>
        <w:t>Enfin, s'agissant de l'exigence relative au comportement irréprochable, il sied tout au plus de relever que si l'intéressé n'a certes pas fait l'objet de condamnations pénales durant son séjour en Suisse, il a cependant accumulé une dette sociale considérable (cf. notamment les attestations de l'Hospice général du 5 et du 6 décembre 2017 ainsi que de la ville de Bienne [Abteilung Soziales] du 27 mai 2013). Par ailleurs, aucun élément au dossier ne permet d'inférer que l'intéressé serait prochainement en mesure de subvenir à ses besoins. Or, selon la jurisprudence du Tribunal fédéral, cet élément doit également être pris en considération dans la pesée des intérêts publics et privés en présence (cf. notamment les arrêts du TF 2C_328/2016 du 14 novembre 2016 consid. 4.5 et 2C_522/2015 consid. 4.4.1).</w:t>
      </w:r>
    </w:p>
    <w:p>
      <w:r>
        <w:rPr>
          <w:b/>
        </w:rPr>
        <w:t>E. 8.4</w:t>
      </w:r>
    </w:p>
    <w:p>
      <w:r>
        <w:t>En conclusion, il sied de retenir que les conditions jurisprudentielles posées au renouvellement de l'autorisation de séjour du recourant en application de l'art. 8 CEDH ne sont pas réalisées dans le cas particulier, puisqu'au regard de l'absence de relation économique étroite entre l'intéressé et sa fille et de la dette sociale importante accumulée par le recourant, l'intérêt privé de ce dernier à pouvoir demeurer en Suisse auprès de sa fille ne saurait l'emporter sur l'intérêt public à son éloignement.</w:t>
      </w:r>
    </w:p>
    <w:p>
      <w:r>
        <w:rPr>
          <w:b/>
        </w:rPr>
        <w:t>E. 9</w:t>
      </w:r>
    </w:p>
    <w:p>
      <w:r>
        <w:t>Dans la décision querellée, le SEM a retenu que l'intéressé ne pouvait pas se prévaloir d'autres raisons personnelles majeures imposant la poursuite de son séjour en Suisse au sens de l'art. 50 al. 1 let. b LEtr ou de l'art. 31 al. 1 OASA. Cette appréciation n'a pas été contestée par le recourant.</w:t>
      </w:r>
    </w:p>
    <w:p>
      <w:r>
        <w:rPr>
          <w:b/>
        </w:rPr>
        <w:t>E. 9.1</w:t>
      </w:r>
    </w:p>
    <w:p>
      <w:r>
        <w:t>S'agissant des possibilités de réintégration du recourant dans son pays d'origine, il convient tout au plus de relever qu'au vu de pièces figurant au dossier, l'intéressé a vécu au Canada jusqu'en juin 2011. Il a ainsi passé toute son enfance, ainsi que son adolescence et le début de sa vie d'adulte dans son pays d'origine, où il a effectué l'intégralité de sa scolarité et acquis diverses expériences professionnelles (cf. le CV versé au dossier cantonal). Par ailleurs, durant son séjour en Suisse, l'intéressé est régulièrement rentré dans son pays d'origine (cf. notamment son courriel du 14 septembre 2015 selon lequel il est retourné au Canada toutes les années entre 2011 et 2015). Dans ces conditions, la réintégration du recourant dans son pays d'origine ne saurait être considérée comme fortement compromise.</w:t>
      </w:r>
    </w:p>
    <w:p>
      <w:r>
        <w:rPr>
          <w:b/>
        </w:rPr>
        <w:t>E. 9.2</w:t>
      </w:r>
    </w:p>
    <w:p>
      <w:r>
        <w:t>Quant aux autres éléments à prendre en considération conformément à l'art. 31 al. 1 OASA, le Tribunal observe notamment que le recourant n'a pas fait preuve d'une intégration poussée en Suisse. A cet égard, il sied de rappeler que A._______ n'a pas été en mesure de se créer une situation professionnelle stable malgré la durée de son séjour en Suisse et qu'il a ainsi été contraint de recourir aux prestations de l'aide sociale. En outre, à l'examen des pièces figurant au dossier, il appert que A._______ ne s'est pas créé en Suisse des attaches sociales à ce point profondes et durables qu'un retour dans son pays d'origine ne puisse être exigé. Compte tenu de ce qui précède et des possibilités de réintégration du recourant au Canada (cf. le consid. 9.1 ci-avant), le Tribunal estime que la situation de l'intéressé, qui est par ailleurs jeune et en bonne santé, n'est pas constitutive d'une situation d'extrême gravité.</w:t>
      </w:r>
    </w:p>
    <w:p>
      <w:r>
        <w:rPr>
          <w:b/>
        </w:rPr>
        <w:t>E. 10</w:t>
      </w:r>
    </w:p>
    <w:p>
      <w:r>
        <w:t>En considération de ce qui précède, le Tribunal est amené à conclure que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11</w:t>
      </w:r>
    </w:p>
    <w:p>
      <w:r>
        <w:t>Dans la mesure où A._______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Canada et le dossier ne fait pas non plus apparaître que l'exécution de ce renvoi serait impossible, illicite ou inexigible au sens de l'art. 83 al. 2 à 4 LEtr.</w:t>
      </w:r>
    </w:p>
    <w:p>
      <w:r>
        <w:rPr>
          <w:b/>
        </w:rPr>
        <w:t>E. 12</w:t>
      </w:r>
    </w:p>
    <w:p>
      <w:r>
        <w:t>Il ressort de ce qui précède que, par sa décision du 13 juillet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