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F-4892/2019 vom 21. Februar 2020</w:t>
      </w:r>
    </w:p>
    <w:p>
      <w:r>
        <w:t>Bundesverwaltungsgericht, 2020-02-21, DE</w:t>
      </w:r>
    </w:p>
    <w:p>
      <w:r>
        <w:rPr>
          <w:b/>
        </w:rPr>
        <w:t xml:space="preserve">Quelle: </w:t>
      </w:r>
      <w:r>
        <w:t>https://mcp.opencaselaw.ch/entscheid/bvger_F-4892_2019</w:t>
      </w:r>
    </w:p>
    <w:p>
      <w:r>
        <w:t>FR: TAF F-4892/2019 du 21 février 2020</w:t>
      </w:r>
    </w:p>
    <w:p>
      <w:r>
        <w:t>IT: TAF F-4892/2019 del 21 febbraio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der Gesuchsteller durch die angefochtene Verfügung besonders berührt. Obwohl der fest anberaumte Besuchszeitraum inzwischen abgelaufen ist, muss auf ein fortbestehendes Rechtsschutzinteresse geschlossen werden. Dies belegt allein schon die Einreichung des Rechtsmittels. Der Beschwerdeführer ist daher zur Erhebung des Rechtsmittels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Der Beschwerdeführer rügt in formeller Hinsicht die Verletzung seines Anspruchs auf rechtliches Gehör (vgl. Art. 29 Abs. 2 BV; Art. 29 ff. VwVG). Obwohl er mehrmals darauf hingewiesen habe, dass er für weitere Fragen jederzeit zur Verfügung stehe, sei er weder von der Vorinstanz noch von der kantonalen Migrationsbehörde zwecks weiterer Abklärungen kontaktiert worden. Auch habe es bereits die Botschaft unterlassen, weitere Abklärungen zu tätigen oder Rückfragen an die Gesuchsteller zu stellen. Dennoch habe die Vorinstanz ihren ablehnenden Entscheid darauf abgestützt, dass keine ausreichenden Informationen und Belege vorlägen (BVGer act. 1). Mit Blick auf den Ausgang des Verfahrens kann vorliegend auf eine vertiefte Abhandlung des Anspruchs auf rechtliches Gehör verzichtet werden. Vor diesem Hintergrund ist auf die beschwerdeweise beantragte Parteibefragung an dieser Stelle ebenfalls nicht näher einzugehen.</w:t>
      </w:r>
    </w:p>
    <w:p>
      <w:r>
        <w:rPr>
          <w:b/>
        </w:rPr>
        <w:t>E. 4.1</w:t>
      </w:r>
    </w:p>
    <w:p>
      <w:r>
        <w:t>Der angefochtenen Verfügung liegt das Gesuch zweier Staatsangehöriger aus Bangladesch um Erteilung von Visa zu Besuchszwecken für die Schweiz zugrunde. Da sich die Gesuchsteller nicht auf die EU/EFTA-Personenfreizügigkeitsabkommen berufen können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2-5 AIG).</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4.3</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Bangladesch stammenden Gesuchsteller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4.5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5</w:t>
      </w:r>
    </w:p>
    <w:p>
      <w:r>
        <w:t>Im vorliegenden Fall hält die Vorinstanz die gesicherte fristgerechte Wiederausreise der Gesuchsteller für nicht gewährleistet. Ausserdem hegt sie Zweifel am Aufenthaltszweck.</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Bangladesch verzeichnete in den letzten Jahren ein anhaltendes Wirtschaftswachstum von jährlich durchschnittlich 6.5%. Parallel dazu erzielte das Land grosse Entwicklungsfortschritte. Der Anteil der Bevölkerung, welcher mit weniger als USD 1.90 pro Person und Tag auskommen muss, konnte in den letzten 30 Jahren um 30% auf rund 15% reduziert werden. Trotz bemerkenswerter Fortschritte bei der Armutsbekämpfung leben heute aber noch immer 24 Millionen Menschen unterhalb der Armutsgrenze. Die politischen und sozialen Spannungen in Bangladesch sind hoch. Infolge des anhaltenden Bevölkerungswachstums bei gleichzeitig abnehmenden Landressourcen und oft fehlenden Alternativen zur vorherrschenden Landarbeit erfährt die Bevölkerung seit einigen Jahren einen erhöhten Verteilungs- und Chancenkonflikt. Auch bestehen zwischen religiösen bzw. ethnischen Gemeinschaften latente Spannungen, die sich teilweise ohne grosse Vorwarnung in lokalen, gewaltsamen Zusammenstössen entladen können. Diese Unruhen wurden durch den Zustrom einer Vielzahl von Rohingya-Flüchtlingen aus Myanmar verstärkt. Terroristische Akte sind jederzeit im ganzen Land möglich (vgl. zum Ganzen «www.eda.admin.ch» &gt; Reisehinweise &amp; Vertretungen &gt; Bangladesch &gt; Reisehinweise für Bangladesch, publiziert am 14. Januar 2019; «www.liportal.de» &gt; Bangladesch &gt; Wirtschaft &amp; Entwicklung, Stand: November 2019; «www.worldbank.org» &gt; Where We Work &gt; Bangladesh &gt; Overview, Stand: 15. Oktober 2019; jeweils besucht im Januar 2020).</w:t>
      </w:r>
    </w:p>
    <w:p>
      <w:r>
        <w:rPr>
          <w:b/>
        </w:rPr>
        <w:t>E. 5.3</w:t>
      </w:r>
    </w:p>
    <w:p>
      <w:r>
        <w:t>Vor diesem Hintergrund ist nicht zu beanstanden, dass die Vorinstanz das Risiko einer nicht fristgerechten Wiederausreise von Besucherinnen und Besuchern aus Bangladesch allgemein als hoch einschätzt.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die weiteren Umstände ebenfalls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6.1</w:t>
      </w:r>
    </w:p>
    <w:p>
      <w:r>
        <w:t>Bei den Gesuchstellern handelt es sich um ein kinderloses Ehepaar im Alter von 32 bzw. 39 Jahren. Bezüglich ihrer privaten Situation lässt sich den Akten entnehmen, dass die nähere Verwandtschaft beider Gesuchsteller ebenfalls in Bangladesch lebt. Lediglich der Onkel der Gesuchstellerin, namentlich der Beschwerdeführer, sowie eine Schwester des Gesuchstellers sind in Europa bzw. in Amerika wohnhaft (SEM act. 2/75 und BVGer act. 1). In Anbetracht dessen ist zwar in casu von familiären Bindungen innerhalb des angestammten Lebensumfeldes in Bangladesch auszugehen. Darüber hinausgehende Verpflichtungen, die von einer allfälligen Emigration abzuhalten vermöchten, sind jedoch keine erkennbar.</w:t>
      </w:r>
    </w:p>
    <w:p>
      <w:r>
        <w:rPr>
          <w:b/>
        </w:rPr>
        <w:t>E. 6.2</w:t>
      </w:r>
    </w:p>
    <w:p>
      <w:r>
        <w:t>Vor diesem Hintergrund ist der wirtschaftlichen Situation der Gesuchsteller ein besonderes Augenmerk zu widmen. Der Gesuchsteller gab im Antrag auf Erteilung eines Schengen-Visums an, als Manager bei «M._______» zu arbeiten (SEM act. 1/44). Ein Schreiben seines Arbeitgebers bestätigt, dass er seit über 12 Jahre im Unternehmen beschäftigt ist und zurzeit die Position als [...] innehat (SEM act. 2/64). Gemäss eingereichten Lohnauszügen vom Mai und August 2019 erzielt er ein monatliches Einkommen von Tk 80'006 bis Tk 122'276 (ca. CHF 900 bis CHF 1'400; Beilagen zu BVGer act. 1). Sein Einkommen liegt somit deutlich über dem monatlichen Durchschnittseinkommen in Bangladesch, welches rund Fr. 318.- beträgt (vgl. «www.numbeo.com» &gt; Lebenshaltungskosten &gt; Bangladesch, Stand: Januar 2020, besucht im Januar 2020). Aus einem eingereichten Kontoauszug der «N._______ Bank» lässt sich weiter entnehmen, dass der Gesuchsteller per 21. Mai 2019 über ein Schlussguthaben von Tk 589'755.38 (ca. Fr. 6'700.-) verfügte. Dieses Guthaben resultierte grösstenteils aus einer im April erfolgten Einzahlung in der Höhe von Tk 350'000 (ca. Fr. 4'000.-). Der Beschwerdeführer bringt auf Beschwerdeebene vor, dass sein Bruder diesen Betrag in seinem Auftrag dem Gesuchsteller zwecks Kaufs des Flugtickets und der notwendigen Reiseversicherung überwiesen habe (BVGer act. 1). Ein weiterer eingereichter Kontoauszug der «Bank O._______ weist per 2. Mai 2019 ein Schlussguthaben von Tk 64'701.51 (ca. Fr. 740.-) auf (SEM act. 1/20-26). Gemäss Ausführungen der Vorinstanz wurde zudem ein Bankbeleg der Gesuchstellerin mit einem Saldo von Tk 650'000 (ca. Fr. 7'400.-) zu den Akten gelegt. Dieses Konto weise ebenfalls eine im April getätigte grössere Einzahlung von Tk 430'000 (ca. Fr. 4'900.-) auf, deren Herkunft jedoch ungeklärt sei (SEM act. 6/85). Die Gesuchstellerin selbst geht keiner Erwerbstätigkeit nach. Den Ausführungen des Beschwerdeführers folgend belege dieser Umstand jedoch, dass es sich bei den Gesuchstellern um wohlhabende Personen handle, da in Bangladesch Ehefrauen nur arbeiten würden, wenn es aufgrund der wirtschaftlichen Verhältnisse notwendig sei (BVGer act. 1). Nach Auffassung des Gerichts ist durchaus davon auszugehen, dass der Verdienst des Gesuchstellers, welcher sich auf das Drei- bis Vierfache des Durchschnittseinkommens in Bangladesch beläuft, ebenfalls den Lebensunterhalt der Gesuchstellerin deckt. Der Gesuchsteller generiert mit seiner mehrjährigen Erwerbstätigkeit nicht nur regelmässige Einkünfte, sondern weist auch eine berufliche Stabilität auf. Die Gesuchsteller dürften somit - entgegen der Auffassung der Vorinstanz und trotz Unterstützungsleistung des Beschwerdeführers - in vergleichsweise stabilen wirtschaftlichen und finanziellen Verhältnissen leben. Aufgrund der Aktenlage ist demnach davon auszugehen, dass die Eingeladenen über eine relativ gesicherte Existenz im Heimatland verfügen, die geeignet ist, das Risiko einer nicht fristgerechten Wiederausreise nach einem Besuchsaufenthalt in der Schweiz erheblich herabzusetzen. Die Gesuchsteller haben sodann lediglich ein Visum für einen achtzehntägigen Besuchsaufenthalt in der Schweiz beantragt. Die Abwesenheit steht im Einklang mit den beruflichen Verpflichtungen in Bangladesch und wurde überdies vom Arbeitgeber bescheinigt (SEM act. 1/36).</w:t>
      </w:r>
    </w:p>
    <w:p>
      <w:r>
        <w:rPr>
          <w:b/>
        </w:rPr>
        <w:t>E. 6.3</w:t>
      </w:r>
    </w:p>
    <w:p>
      <w:r>
        <w:t>Den eingereichten Passkopien ist schliesslich zu entnehmen, dass die Gesuchsteller bereits mehrfach ins Ausland gereist und immer wieder nach Bangladesch zurückgekehrt sind (SEM act. 2/49-63). Zu bedenken gilt es ferner, dass die Initiative zum Besuchsaufenthalt vom Gastgeber ausging (SEM act. 1/35), andere von ihm eingeladene Verwandte die Schweiz unbestrittenermassen stets anstandslos verlassen haben und keine nahen Verwandte nach Europa emigriert sind (SEM act. 2/75-76). Auch diese Umstände sind geeignet, das Risiko einer nicht fristgerechten Wiederausreise nach dem geplanten Besuchsaufenthalt entscheidend herabzusetzen.</w:t>
      </w:r>
    </w:p>
    <w:p>
      <w:r>
        <w:rPr>
          <w:b/>
        </w:rPr>
        <w:t>E. 6.4</w:t>
      </w:r>
    </w:p>
    <w:p>
      <w:r>
        <w:t>Aufgrund des Gesagten lassen sich auch die im vorliegenden Fall von der Vorinstanz geäusserten Zweifel am deklarierten Aufenthaltszweck nicht aufrechterhalten. Dass die Gesuchsteller den Beschwerdeführer besuchen und anlässlich dieses befristeten Besuchs ebenfalls die touristischen Sehenswürdigkeiten besichtigen möchten, erscheint jedenfalls nachvollziehbar.</w:t>
      </w:r>
    </w:p>
    <w:p>
      <w:r>
        <w:rPr>
          <w:b/>
        </w:rPr>
        <w:t>E. 7</w:t>
      </w:r>
    </w:p>
    <w:p>
      <w:r>
        <w:t>Zusammenfassend ist somit festzuhalten, dass den Gesuchstellern die Erteilung eines Visums nicht mit der Begründung verweigert werden kann, die Wiederausreise sei nicht gesichert und der Aufenthaltszweck bleibe unklar. Daran ändert nichts, dass das Risiko für eine Missachtung ausländerrechtlicher Normen naturgemäss nie gänzlich ausgeschlossen werden kann. Indem die Vorinstanz den rechtserheblichen Sachverhalt wesentlich anders beurteilt hat, hat sie Bundesrecht verletzt (vgl. Art. 49 Bst. a VwVG). Die Beschwerde ist daher gutzuheissen, die angefochtene Verfügung aufzuheben und die Sache zur neuerlichen Beurteilung an das SEM zurückzuweisen. Dabei bleibt von der Vorinstanz zu prüfen, ob die übrigen Einreisevoraussetzungen erfüllt sind.</w:t>
      </w:r>
    </w:p>
    <w:p>
      <w:r>
        <w:rPr>
          <w:b/>
        </w:rPr>
        <w:t>E. 8</w:t>
      </w:r>
    </w:p>
    <w:p>
      <w:r>
        <w:t>Bei diesem Ausgang des Verfahrens sind dem Beschwerdeführer keine Kosten aufzuerlegen (Art. 63 Abs. 1 VwVG), und es ist ihm gestützt auf Art. 64 VwVG i.Vm. Art. 7 ff. des Reglements vom 21. Februar 2008 über die Kosten und Entschädigungen vor dem Bundesverwaltungsgericht (VGKE, SR 173.320.2) zu Lasten der Vorinstanz eine angemessene Parteientschädigung zuzusprechen, welche unter Berücksichtigung der Akten und vergleichbarer Fälle auf gesamthaft Fr. 1'200. (inkl. Auslagen und MWST) festzulegen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