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F-4884/2025 vom 28. Mai 2025</w:t>
      </w:r>
    </w:p>
    <w:p>
      <w:r>
        <w:t>Bundesverwaltungsgericht, 2025-05-28, DE</w:t>
      </w:r>
    </w:p>
    <w:p>
      <w:r>
        <w:rPr>
          <w:b/>
        </w:rPr>
        <w:t xml:space="preserve">Quelle: </w:t>
      </w:r>
      <w:r>
        <w:t>https://mcp.opencaselaw.ch/entscheid/bvger_F-4884_2025_d20250528</w:t>
      </w:r>
    </w:p>
    <w:p>
      <w:r>
        <w:t>FR: TAF F-4884/2025 du 28 mai 2025</w:t>
      </w:r>
    </w:p>
    <w:p>
      <w:r>
        <w:t>IT: TAF F-4884/2025 del 28 maggio 2025</w:t>
      </w:r>
    </w:p>
    <w:p>
      <w:pPr>
        <w:pStyle w:val="Heading2"/>
      </w:pPr>
      <w:r>
        <w:t>Regeste</w:t>
      </w:r>
    </w:p>
    <w:p>
      <w:r>
        <w:t>Schengen-Visum | Schengen-Visum; Verfügung des SEM vom 28. Mai 2025</w:t>
      </w:r>
    </w:p>
    <w:p>
      <w:pPr>
        <w:pStyle w:val="Heading2"/>
      </w:pPr>
      <w:r>
        <w:t>Erwägungen</w:t>
      </w:r>
    </w:p>
    <w:p>
      <w:r>
        <w:rPr>
          <w:b/>
        </w:rPr>
        <w:t>E. 1.1</w:t>
      </w:r>
    </w:p>
    <w:p>
      <w:r>
        <w:t>Anfechtungsgegenstand der vorliegenden Beschwerde ist der Ein- spracheentscheid des SEM bezüglich Schengen-Visum vom 28. Mai 2025 (vgl. BVGE 2015/5 E. 6.2), der mit Beschwerde beim Bundesverwaltungs- gericht anfechtbar ist (vgl. Art. 112 Abs. 1 AIG [SR 142.20] i.V.m. Art. 31 ff. VGG und Art. 5 VwVG). Das Rechtsmittelverfahren richtet sich nach dem VwVG, soweit das VGG nichts anderes bestimmt (Art. 37 VGG).</w:t>
      </w:r>
    </w:p>
    <w:p>
      <w:r>
        <w:rPr>
          <w:b/>
        </w:rPr>
        <w:t>E. 1.2</w:t>
      </w:r>
    </w:p>
    <w:p>
      <w:r>
        <w:t>Die Beschwerdeführerin ist zur Beschwerdeführung legitimiert (Art. 48 Abs. 1 VwVG). Der ursprünglich angestrebte Besuchszeitraum ist zwar in- zwischen abgelaufen, die Beschwerdeführerin strebt aber – wie aus der Einreichung der vorliegenden Rechtsmitteleingabe zu schliessen ist – wei- terhin einen Besuch in der Schweiz an. Auf die im Übrigen frist- und form- gerecht eingereichte Beschwerde ist einzutreten (vgl.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w:t>
      </w:r>
    </w:p>
    <w:p>
      <w:r>
        <w:t>F-4884/2025 Seite 4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 schaftskodex für das Überschreiten der Grenzen durch Personen [Schen- gener Grenzkodex, SGK, ABl. L 77/1 vom 23.03.2016]; Art. 14 Abs. 1 und Art. 21 Abs. 1 der Verordnung [EG] Nr. 810/2009 des Europäischen Parla- ments und des Rates vom 13. Juli 2009 über einen Visakodex der Gemein- 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w:t>
      </w:r>
    </w:p>
    <w:p>
      <w:r>
        <w:t>F-4884/2025 Seite 5 Visum wird verweigert, wenn begründete Zweifel an der Echtheit der von dem Antragsteller vorgelegten Belege oder am Wahrheitsgehalt ihres In- halts, an der Glaubwürdigkeit seiner Aussagen oder der von ihm bekunde- ten Absicht bestehen, das Hoheitsgebiet der Mitgliedstaaten vor Ablauf der Gültigkeit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Strittig ist, ob die nigerianische Beschwerdeführerin hinreichend Gewähr für ihre fristgerechte Wiederausreise aus dem Schengen-Raum bietet. Ausser Frage steht dabei die gegebene Visumspflicht (Art. 8 Abs. 1 VEV i.V.m. Anhang I der Verordnung Nr. 2018/1806).</w:t>
      </w:r>
    </w:p>
    <w:p>
      <w:r>
        <w:rPr>
          <w:b/>
        </w:rPr>
        <w:t>E. 4.1</w:t>
      </w:r>
    </w:p>
    <w:p>
      <w:r>
        <w:t>In der Regel lassen sich keine gesicherten Feststellungen darüber tref- fen, ob eine drittstaatsangehörige Person tatsächlich beabsichtigt, vor Ab- lauf des Visums den Schengen-Raum zu verlassen. Es gilt vielmehr eine Prognose zu erstellen, wobei alle Umstände des Einzelfalls zu würdigen sind. Die Beweisführungslast obliegt dabei der drittstaatsangehörigen Per- 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4.2</w:t>
      </w:r>
    </w:p>
    <w:p>
      <w:r>
        <w:t>Obwohl Nigeria aufgrund seiner reichhaltigen Erdölvorkommen als stärkste Volkswirtschaft des afrikanischen Kontinents gilt, lebt ein grosser Teil der Bevölkerung in Armut (vgl. dazu &lt; https:// www.bmz.de &gt; Länder &gt; Nigeria &gt; aktuelle Situation &gt; Armut und Korruption allgegenwärtig,</w:t>
      </w:r>
    </w:p>
    <w:p>
      <w:r>
        <w:t>F-4884/2025 Seite 6 abgerufen im Oktober 2025). Die Sicherheitslage ist im ganzen Land sehr angespannt und hat sich kontinuierlich verschlechtert. Es besteht ein ho- hes Risiko von politischen und kriminellen Entführungen. Das Risiko be- steht für einheimische und ausländische Personen aller Altersstufen und Gesellschaftsschichten. In der Bundeshauptstadt Abuja, (…), haben An- schläge in der Vergangenheit wiederholt zahlreiche Todesopfer und Ver- letzte gefordert. Die Kriminalitätsrate ist sehr hoch. Die medizinische Ver- sorgung ist nicht immer gewährleistet (vgl. &lt; https:// www.eda.admin.ch &gt; Reisehinweise &amp; Vertretungen &gt; Nigeria &gt; Reisehinweise für Nigeria, ab- gerufen im Oktober 2025). Auf dem aktuellen Index der menschlichen Ent- wicklung, der durch das Entwicklungsprogramm der Vereinten Nationen im Sinne eines Wohlstandsindikators erstellt wird, belegt Nigeria lediglich Rang 164 von 193 gelisteten Staaten (vgl. &lt; https://hdr.undp.org &gt; Data Center ˃ Country Insights &gt; Nigeria, abgerufen im Oktober 2025).</w:t>
      </w:r>
    </w:p>
    <w:p>
      <w:r>
        <w:rPr>
          <w:b/>
        </w:rPr>
        <w:t>E. 4.3</w:t>
      </w:r>
    </w:p>
    <w:p>
      <w:r>
        <w:t>Vor diesem Hintergrund ist nicht zu beanstanden, dass die Vorinstanz das Risiko einer nicht fristgerechten Wiederausreise von Besucherinnen und Besuchern aus Nigeria allgemein als hoch einschätzt.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(bei- spielsweise durch Einreichung eines Asylgesuchs) abzustützen (vgl. BVGE 2014/1 E. 6.2.2; Urteil des BVGer C-4223/2014 vom 16. Februar 2016 E. 5.3, 2. Abschnitt).</w:t>
      </w:r>
    </w:p>
    <w:p>
      <w:r>
        <w:rPr>
          <w:b/>
        </w:rPr>
        <w:t>E. 4.4</w:t>
      </w:r>
    </w:p>
    <w:p>
      <w:r>
        <w:t>Besteht bereits aufgrund der allgemeinen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anzulegen, je ungünstiger sich die allgemeine Situation im Herkunftsland der gesuchstellenden Person darstellt. Zu den konkreten Lebensumständen gehören insbesondere die persönlichen, fa- miliären, beruflichen und wirtschaftlichen Verhältnisse der gesuchstellen- den Person (BVGE 2014/1 E. 6.3.1). So kann eine besondere berufliche, gesellschaftliche oder familiäre Verantwortung im Herkunftsland bezie- hungsweise eine stabile, die Existenz sichernde wirtschaftliche Situation die Prognose einer anstandslosen Wiederausreise vor Ablauf der Visums- dauer begünstigen. Umgekehrt muss bei Personen, die in ihrer Heimat</w:t>
      </w:r>
    </w:p>
    <w:p>
      <w:r>
        <w:t>F-4884/2025 Seite 7 keine besonderen Verpflichtungen haben oder die sich in wirtschaftlich un- günstigen Verhältnissen befinden, das Risiko eines ausländerrechtlich nicht regelkonformen Verhaltens nach einer bewilligten Einreise als ver- gleichsweise hoch eingeschätzt werden (BVGE 2014/1 E. 6.3.1; 2009/27 E. 8).</w:t>
      </w:r>
    </w:p>
    <w:p>
      <w:r>
        <w:rPr>
          <w:b/>
        </w:rPr>
        <w:t>E. 5.1</w:t>
      </w:r>
    </w:p>
    <w:p>
      <w:r>
        <w:t>Gemäss Ausführungen in der Rechtsmitteleingabe habe die Beschwer- deführerin in Nigeria ein soziales und gesellschaftliches Leben, welches sie sich über Jahre aufgebaut habe. Es ergebe für sie daher keinen Sinn, dieses Leben einzig deswegen aufzugeben, weil es allenfalls eine Chance gebe, dass die Beziehung zu ihrem Freund in der Schweiz enger werde. Sofern das passiere, würde es später, nach einer Rückkehr in die Heimat, andere Möglichkeiten geben, erneut in die Schweiz zu kommen. Dafür müsse sie sicherlich nicht das Risiko eingehen, in die Illegalität abzudriften (vgl. Ziff. 5 ebenda). Den vorinstanzlichen Akten ist überdies zu entneh- men, dass die Beschwerdeführerin in Nigeria über mehrere Verwandte wie Onkel und Tanten verfügt (SEM act. 3/6). In der Beschwerde wird ferner vorgebracht, die Beschwerdeführerin habe in Nigeria eine unbefristete An- stellung; es sei zudem, entgegen den Vorbringen des SEM, nicht lebens- fremd, wenn Angestellte bei privatrechtlichen Arbeitgebern mehrere Wo- chen oder gar Monate Urlaub nähmen und das sogar unbezahlt. Anders wären Weltreisen nicht möglich. Solche längeren Abwesenheiten kämen häufig vor und seien alles andere als lebensfremd. Die Vorinstanz liefere hierzu denn auch keine genauen Ausführungen oder gar Belege, weshalb solch längere Abwesenheiten lebensfremd sein sollten (Beschwerde Ziff. 6).</w:t>
      </w:r>
    </w:p>
    <w:p>
      <w:r>
        <w:rPr>
          <w:b/>
        </w:rPr>
        <w:t>E. 5.2</w:t>
      </w:r>
    </w:p>
    <w:p>
      <w:r>
        <w:t>Die (…)-jährige Beschwerdeführerin ist ledig und kinderlos. Über ihre Lebensumstände in Nigeria ist nicht viel bekannt, es ist jedoch anzuneh- men, dass sie dort über soziale Kontakte verfügt und am gesellschaftlichen Leben teilnimmt. Allerdings können allein dadurch keine besonderen fami- liären oder gesellschaftlichen Verpflichtungen begründet werden, welche ihre persönliche Präsenz in ihrem Heimatland zwingend erfordern würden oder die besondere Gewähr für eine Rückkehr nach Nigeria bieten könn- ten. Da aus ihrem sozialen Umfeld für die Beurteilung des Kriteriums der gesicherten Wiederausreise nichts abgeleitet werden kann, kommt den wirtschaftlichen Verhältnissen, in denen sie sich befindet, umso grössere Bedeutung zu.</w:t>
      </w:r>
    </w:p>
    <w:p>
      <w:r>
        <w:t>F-4884/2025 Seite 8</w:t>
      </w:r>
    </w:p>
    <w:p>
      <w:r>
        <w:rPr>
          <w:b/>
        </w:rPr>
        <w:t>E. 5.3</w:t>
      </w:r>
    </w:p>
    <w:p>
      <w:r>
        <w:t>Dazu ergibt sich aus den vorinstanzlichen Akten, dass die Beschwer- deführerin bei einem (…)-Unternehmen als «(…)» angestellt ist (vgl. SEM act. 6/15; 9/26; 9/34). Dem Schreiben «approved leave of absence» vom</w:t>
      </w:r>
    </w:p>
    <w:p>
      <w:r>
        <w:rPr>
          <w:b/>
        </w:rPr>
        <w:t>E. 5.4</w:t>
      </w:r>
    </w:p>
    <w:p>
      <w:r>
        <w:t>Gesamthaft betrachtet ist nicht ersichtlich, dass der Beschwerdeführe- rin über das übliche Mass hinausgehende gesellschaftliche oder familiäre Verpflichtungen obliegen würden. Auch die dargestellte wirtschaftliche Si- tuation der Beschwerdeführerin ist nicht geeignet, die Risikobeurteilung entscheidend zu ihren Gunsten zu beeinflussen. Kommt hinzu, dass, selbst wenn es, wie die Beschwerdeführerin angibt, nicht sicher ist, wie sich die Beziehung zu ihrem hier lebenden Freund entwickelt (Beschwerde Ziff. 7), sie in der Schweiz auch unabhängig von ihm über ein vorbestehendes so- ziales Beziehungsnetz verfügt, leben doch laut Angaben ihres Partners je eine Tante und ein Onkel in K._______ (SEM act. 6/14).</w:t>
      </w:r>
    </w:p>
    <w:p>
      <w:r>
        <w:rPr>
          <w:b/>
        </w:rPr>
        <w:t>E. 5.5</w:t>
      </w:r>
    </w:p>
    <w:p>
      <w:r>
        <w:t>Vor dem aufgezeigten persönlichen und allgemeinen Hintergrund durfte die Vorinstanz demnach davon ausgehen, dass keine hinreichende Gewähr für eine fristgerechte und anstandslose Wiederausreise der Be- schwerdeführerin nach einem Besuchsaufenthalt besteht. Daran vermag auch nichts zu ändern, dass sie gemäss eigenen Aussagen vor Einrei- chung des Gesuches keinerlei Anstalten getroffen habe, im Falle einer Vi- sumserteilung und des Besuches in der Schweiz nicht wieder nach Nigeria zurückzukehren (Beschwerde Ziff. 7). Dass die Beschwerdeführerin mit</w:t>
      </w:r>
    </w:p>
    <w:p>
      <w:r>
        <w:t>F-4884/2025 Seite 9 ihrem Besuch in der Schweiz beabsichtigt, ihren Freund besser kennenzu- lernen, um allenfalls nach weiteren Treffen eine gemeinsame Zukunft be- schreiten zu können (vgl. Beschwerde Ziff. 4), ist zwar nachvollziehbar, da- raus kann sie aber nichts zu ihren Gunsten ableiten. Dies gilt auch für die vom Gastgeber unterzeichnete Verpflichtungserklärung vom 15. Oktober 2024 (vgl. Beschwerde Ziff. 8; SEM act. 6/17). Ohne seine guten Absichten in Zweifel zu ziehen und seine Glaubwürdigkeit in Frage zu stellen, gilt es zu bedenken, dass er als Freund der Beschwerdeführerin lediglich für ge- wisse finanzielle Risiken Garantien leisten kann, nicht aber – mangels rechtlicher und faktischer Durchsetzbarkeit – für ein bestimmtes Verhalten seines Gastes (vgl. BVGE 2014/1 E. 6.3.7 und BVGE 2009/27 E. 9). Schliesslich kann auch die von der Beschwerdeführerin selbst abgegebene Erklärung vom 15. Oktober 2024 nichts an der Risikobeurteilung ändern (vgl. Beschwerde Ziff. 7; SEM act. 6/18), handelt es sich doch bei einer solchen Erklärung um eine blosse Absichtserklärung, die in der Schweiz keine rechtlichen Wirkungen entfalten kann.</w:t>
      </w:r>
    </w:p>
    <w:p>
      <w:r>
        <w:rPr>
          <w:b/>
        </w:rPr>
        <w:t>E. 5.6</w:t>
      </w:r>
    </w:p>
    <w:p>
      <w:r>
        <w:t>Soweit die Beschwerdeführerin einen Verstoss gegen das Verhältnis- mässigkeitsprinzip geltend macht, da die Vorinstanz das mildere Mittel der Kautionshinterlegung nicht einmal geprüft habe (Beschwerde Ziff. 10 f.), ist darauf hinzuweisen, dass in casu dem Risiko einer nicht fristgerechten Wiederausreise auch mit der Hinterlegung einer Kaution nicht ausreichend Rechnung getragen werden kann (vgl. Art. 6 Abs. 3 SGK i.V.m. Art. 5 Abs. 1 Bst. b und Art. 6 Abs. 3 AIG, Art. 14 ff. VEV). So wurde in Fällen, in denen die Visumserteilung unter der Bedingung einer Kautionszahlung als mög- lich erachtet wurde, stets die soziale und wirtschaftliche Situation der ge- suchstellenden Person im Heimatland als hinreichend stabil eingestuft (vgl. etwa BVGE 2019 VII/1 E. 9, 2018 VII/6 E. 8.3; Urteile des BVGer F- 2086/2020 vom 17. Mai 2021 E. 6.4; F-2075/2020 vom 26. November 2020 E. 6.4). Dies ist vorliegend nicht der Fall. Das Vorbringen der Beschwerde- führerin, ihr Freund wäre im Stande gewesen, für die Kautionshinterlegung zu sorgen (Beschwerde Ziff. 10), bleibt demnach ohne Relevanz. Somit ist das Eventualbegehren abzuweisen.</w:t>
      </w:r>
    </w:p>
    <w:p>
      <w:r>
        <w:rPr>
          <w:b/>
        </w:rPr>
        <w:t>E. 5.7</w:t>
      </w:r>
    </w:p>
    <w:p>
      <w:r>
        <w:t>Vorliegend bestehen zudem keine Gründe, welche eine Rückweisung der Sache an die Vorinstanz rechtfertigen könnten, zumal auch in der Rechtsmitteleingabe dazu nichts Näheres ausgeführt wird. Der betreffende Subeventualantrag ist folglich abzuweisen.</w:t>
      </w:r>
    </w:p>
    <w:p>
      <w:r>
        <w:rPr>
          <w:b/>
        </w:rPr>
        <w:t>E. 6</w:t>
      </w:r>
    </w:p>
    <w:p>
      <w:r>
        <w:t>Schliesslich wurden Gründe humanitärer oder anderer Art, welche die</w:t>
      </w:r>
    </w:p>
    <w:p>
      <w:r>
        <w:t>F-4884/2025 Seite 10 Erteilung eines Visums mit räumlich beschränkter Gültigkeit rechtfertigen könnten, von der Beschwerdeführerin nicht geltend gemacht und sind auch nicht ersichtlich.</w:t>
      </w:r>
    </w:p>
    <w:p>
      <w:r>
        <w:rPr>
          <w:b/>
        </w:rPr>
        <w:t>E. 7</w:t>
      </w:r>
    </w:p>
    <w:p>
      <w:r>
        <w:t>Die Vorinstanz hat das Visum für den Schengen-Raum zu Recht verwei- gert. Die angefochtene Verfügung ist daher im Lichte von Art. 49 VwVG nicht zu beanstanden. Die Beschwerde ist abzuweisen.</w:t>
      </w:r>
    </w:p>
    <w:p>
      <w:r>
        <w:rPr>
          <w:b/>
        </w:rPr>
        <w:t>E. 8</w:t>
      </w:r>
    </w:p>
    <w:p>
      <w:r>
        <w:t>Bei diesem Ausgang des Verfahrens sind die Kosten der unterliegenden Beschwerdeführerin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 genheit endgültig (Art. 83 Bst. c Ziff. 1 BGG).</w:t>
      </w:r>
    </w:p>
    <w:p>
      <w:r>
        <w:t>(Dispositiv nächste Seite)</w:t>
      </w:r>
    </w:p>
    <w:p>
      <w:r>
        <w:t>F-4884/2025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