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F-4879/2023 vom 15. April 2024</w:t>
      </w:r>
    </w:p>
    <w:p>
      <w:r>
        <w:t>Bundesverwaltungsgericht, 2024-04-15, IT</w:t>
      </w:r>
    </w:p>
    <w:p>
      <w:r>
        <w:rPr>
          <w:b/>
        </w:rPr>
        <w:t xml:space="preserve">Quelle: </w:t>
      </w:r>
      <w:r>
        <w:t>https://mcp.opencaselaw.ch/entscheid/bvger_F-4879_2023</w:t>
      </w:r>
    </w:p>
    <w:p>
      <w:r>
        <w:t>FR: TAF F-4879/2023 du 15 avril 2024</w:t>
      </w:r>
    </w:p>
    <w:p>
      <w:r>
        <w:t>IT: TAF F-4879/2023 del 15 aprile 2024</w:t>
      </w:r>
    </w:p>
    <w:p>
      <w:pPr>
        <w:pStyle w:val="Heading2"/>
      </w:pPr>
      <w:r>
        <w:t>Regeste</w:t>
      </w:r>
    </w:p>
    <w:p>
      <w:r>
        <w:t>Visto Schengen</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w:t>
      </w:r>
    </w:p>
    <w:p>
      <w:r>
        <w:t>F-4879/2023 Pagina 3 dicembre 1968 sulla procedura amministrativa (PA, RS 172.021), salvo nei casi previsti all’art. 32 LTAF, emanate dalle autorità menzionate all'art. 33 LTAF. La SEM fa parte delle dette autorità (art. 33 lett. d LTAF) e il provvedimento del 21 dicembre 2021 (conferma del rifiuto dei visti), che non rientra peral- tro nell'elenco dell'art. 32 LTAF, costituisce una decisione ai sensi dell’art. 5 cpv. 2 PA, dimodoché questo Tribunale è competente a giudicare il pre- sente ricorso. Dato che la procedura verte su una decisione in materia di diritto degli stranieri concernente l’entrata in Svizzera di una persona che non è cittadina di uno Stato membro dell’Unione europea, la presente sen- 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 la destinataria diretta della decisione su oppo- sizione impugnata, la ricorrente ha partecipato alla procedura, fin dall’ini- zio, firmando la lettera d’invito a favore del richiedente, dimodoché si deve ammettere che è particolarmente toccata dalla detta decisione, da cui la sua legittimazione a ricorrere (cfr. la sentenza TAF F-3917/2022 del 6 ot- tobre 2023 consid. 1.2). Sebbene il periodo di visita relativo alla richiesta di visto sia già trascorso, nel ricorso è implicito che la visita prevista avrebbe avuto luogo anche in un momento successivo. Si deve pertanto affermare un interesse attuale. La ricorrente, ha impugnato la decisione tempestivamente, nel rispetto dei requisiti previsti dalla legge, versando peraltro nel termine impartitogli l'anticipo di fr. 700.– relativo alle presunte spese processuali. Ne discende che il ricorso è ammissibile e nulla osta quindi all’esame del merito del litigio.</w:t>
      </w:r>
    </w:p>
    <w:p>
      <w:r>
        <w:rPr>
          <w:b/>
        </w:rPr>
        <w:t>E. 2</w:t>
      </w:r>
    </w:p>
    <w:p>
      <w:r>
        <w:t>Con il deposito del ricorso, la trattazione della causa, oggetto della</w:t>
      </w:r>
    </w:p>
    <w:p>
      <w:r>
        <w:t>F-4879/2023 Pagina 4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 pio, all'inadeguatezza (artt. 49 e 54 PA). È determinante, in primo luogo, la situazione fattuale al momento del giudizio (cfr. DTAF 2020 VII/4 con- sid. 2.2).</w:t>
      </w:r>
    </w:p>
    <w:p>
      <w:r>
        <w:rPr>
          <w:b/>
        </w:rPr>
        <w:t>E. 3</w:t>
      </w:r>
    </w:p>
    <w:p>
      <w:r>
        <w:t>La presente causa verte sul rifiuto della SEM di rilasciare al richiedente un visto Schengen di breve durata da lui richiesto. Si tratta dunque di verificare se le condizioni per l’emissione di tale visto, secondo la normativa Schengen, siano soddisfatte.</w:t>
      </w:r>
    </w:p>
    <w:p>
      <w:r>
        <w:rPr>
          <w:b/>
        </w:rPr>
        <w:t>E. 4.1</w:t>
      </w:r>
    </w:p>
    <w:p>
      <w:r>
        <w:t>È utile ricordare, in primo luogo, che “la politica in materia di visti riveste un ruolo importante nel contesto della prevenzione dell’immigrazione ille- gale. Essa può tuttavia esplicare tutta la sua efficacia unicamente nel con- testo di un coordinamento internazionale. Come tutti gli altri Stati, la Sviz- zera non è di principio tenuta a consentire l’entrata sul suo territorio a per- sone straniere. Fatti salvi gli impegni di diritto internazionale pubblico, le pertinenti decisioni sono prese autonomamente (Messaggio del Consiglio federale relativo alla legge federale sugli stranieri dell’8 marzo 2002 [Mes- 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 tenti godono di un ampio margine d’apprezzamento, che devono tuttavia esercitare nel rispetto dei principi dello Stato di diritto, tra i quali spiccano l’uguaglianza giuridica e la protezione dall’arbitrio (cfr. DTF 135 I 143 con- sid. 2.2 e 135 II 1 consid. 1.1, nonché DTAF 2014/1 consid. 4.1.1 e 4.1.5 e 2009/27 consid. 3).</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w:t>
      </w:r>
    </w:p>
    <w:p>
      <w:r>
        <w:t>F-4879/2023 Pagina 5 europea, riguardante l'associazione della Svizzera all'attuazione, all'appli- cazione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 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 ficare lo scopo e le condizioni del soggiorno e disporre dei mezzi di sussi- stenza sufficienti (anche per il ritorno nel paese d’origine) ovvero essere in grado di ottenere legalmente detti mezzi; (d) non essere segnalati nel Si- stema d’informazione Schengen (SIS) ai fini della non ammissione; (e) non</w:t>
      </w:r>
    </w:p>
    <w:p>
      <w:r>
        <w:t>F-4879/2023 Pagina 6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 accor- data particolare attenzione alla valutazione se il richiedente presenti un ri- schio di immigrazione illegale o un rischio per la sicurezza degli Stati mem- 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 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 bilità per motivi umanitari, di interesse nazionale o in virtù di obblighi inter- nazionali (art. 6 § 5 lett. c del codice frontiere Schengen e art. 25 § 1 lett. a del codice dei visti).</w:t>
      </w:r>
    </w:p>
    <w:p>
      <w:r>
        <w:rPr>
          <w:b/>
        </w:rPr>
        <w:t>E. 4.9</w:t>
      </w:r>
    </w:p>
    <w:p>
      <w:r>
        <w:t>Per i soggiorni di lunga durata in Svizzera (visto nazionale “D”), ossia superiori a 90 giorni su un periodo di 180 giorni, valgono gli artt. 2 lett. f, 4 e 8 OEV.</w:t>
      </w:r>
    </w:p>
    <w:p>
      <w:r>
        <w:rPr>
          <w:b/>
        </w:rPr>
        <w:t>E. 5</w:t>
      </w:r>
    </w:p>
    <w:p>
      <w:r>
        <w:t>In concreto, essendo di nazionalità pakistana, il richiedente ha l’obbligo di</w:t>
      </w:r>
    </w:p>
    <w:p>
      <w:r>
        <w:t>F-4879/2023 Pagina 7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w:t>
      </w:r>
    </w:p>
    <w:p>
      <w:r>
        <w:rPr>
          <w:b/>
        </w:rPr>
        <w:t>E. 6</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 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 stanze del caso concreto: in particolare, la situazione personale, familiare, sociale e professionale (finanziaria) dello straniero può fornire elementi o indizi utili a formulare una previsione favorevole riguardo alla partenza re- 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rPr>
          <w:b/>
        </w:rPr>
        <w:t>E. 7</w:t>
      </w:r>
    </w:p>
    <w:p>
      <w:r>
        <w:t>agosto 2023 consid. 5.5).</w:t>
      </w:r>
    </w:p>
    <w:p>
      <w:r>
        <w:rPr>
          <w:b/>
        </w:rPr>
        <w:t>E. 7.1</w:t>
      </w:r>
    </w:p>
    <w:p>
      <w:r>
        <w:t>Rispetto alla situazione socioeconomica degli Emirati Arabi Uniti va evi- denziato quanto segue.</w:t>
      </w:r>
    </w:p>
    <w:p>
      <w:r>
        <w:t>F-4879/2023 Pagina 8</w:t>
      </w:r>
    </w:p>
    <w:p>
      <w:r>
        <w:rPr>
          <w:b/>
        </w:rPr>
        <w:t>E. 7.2</w:t>
      </w:r>
    </w:p>
    <w:p>
      <w:r>
        <w:t>Per quanto gli Emirati Arabi Uniti godano generalmente di un alto livello di prosperità, la situazione dei milioni di lavoratori stranieri è in gran parte diversa. Nel suo rapporto annuale del 2022, Human Rights Watch afferma che i lavoratori migranti negli Emirati Arabi Uniti continuano a essere sfrut- tati e maltrattati, nonostante le clausole di protezione contenute nella legge sul lavoro del 1980 e nei decreti successivi. Il sistema di sponsorizzazione ("kafala") facilita lo sfruttamento dei lavoratori migranti da parte dei datori di lavoro ("sponsor"). Il sistema lega i visti dei lavoratori ai loro datori di lavoro e impedisce loro di cambiare o lasciare il datore di lavoro senza autorizzazione. Chi lascia il proprio datore di lavoro senza autorizzazione rischia sanzioni come multe, arresto, detenzione e deportazione, senza al- cuna garanzia di un giusto processo (cfr. https://www.hrw.org/world-re- port/2024/country-chapters/united-arab-emirates, consultato il 28 febbraio 2024).</w:t>
      </w:r>
    </w:p>
    <w:p>
      <w:r>
        <w:rPr>
          <w:b/>
        </w:rPr>
        <w:t>E. 7.3</w:t>
      </w:r>
    </w:p>
    <w:p>
      <w:r>
        <w:t>Alla luce di questo quadro socioeconomico generale, da rapportare alla situazione vigente negli Stati della zona Schengen, e segnatamente in Svizzera, va da sé che il rischio teorico che il richiedente, secondo il profilo statistico medio dell’abitante emiratino, potrebbe essere tentato di non la- sciare la zona in questione entro il termine di scadenza del visto richiesto, non può essere a priori escluso (cfr. sentenza del TAF F-2899/2022 del</w:t>
      </w:r>
    </w:p>
    <w:p>
      <w:r>
        <w:rPr>
          <w:b/>
        </w:rPr>
        <w:t>E. 8.1</w:t>
      </w:r>
    </w:p>
    <w:p>
      <w:r>
        <w:t>Dal punto di vista della situazione personale, familiare e professionale del richiedente, si deve osservare quanto segue.</w:t>
      </w:r>
    </w:p>
    <w:p>
      <w:r>
        <w:rPr>
          <w:b/>
        </w:rPr>
        <w:t>E. 8.2</w:t>
      </w:r>
    </w:p>
    <w:p>
      <w:r>
        <w:t>Il richiedente (cittadino pakistano, nato nel 1993) si trova negli Emirati Arabi Uniti dal 2019. Non ha famiglia nel suo attuale Paese di residenza. In considerazione di ciò, dal punto di vista personale e familiare il richie- dente non è fortemente legato al suo luogo di residenza attuale. Pertanto, la relazione della coppia fa sorgere ulteriori dubbi sulla sua volontà di tor- nare entro il termine del visto richiesto (cfr. sentenza del TAF F-4146/2022 del 23 novembre 2023 consid. 6.3).</w:t>
      </w:r>
    </w:p>
    <w:p>
      <w:r>
        <w:rPr>
          <w:b/>
        </w:rPr>
        <w:t>E. 8.3</w:t>
      </w:r>
    </w:p>
    <w:p>
      <w:r>
        <w:t>Per quanto riguarda la situazione professionale del richiedente, dagli atti risulta che lavora come aiuto cuoco in un ristorante dal settembre 2022 e guadagna 3200 AED al mese, che in confronto al reddito medio del paese è molto basso (cfr. https://www.ceicdata.com/en/indicator/united-arab-emi- rates/monthly-earnings, consultato il 28 febbraio 2024). Secondo le sue di- chiarazioni non provate, in precedenza come era stato impiegato come semplice impiegato in cucina del ristorante. Anche dal punto di vista</w:t>
      </w:r>
    </w:p>
    <w:p>
      <w:r>
        <w:t>F-4879/2023 Pagina 9 professionale non si può dunque affermare che il richiedente sia fortemente legato al suo luogo di residenza attuale.</w:t>
      </w:r>
    </w:p>
    <w:p>
      <w:r>
        <w:rPr>
          <w:b/>
        </w:rPr>
        <w:t>E. 8.4</w:t>
      </w:r>
    </w:p>
    <w:p>
      <w:r>
        <w:t>Alla luce delle considerazioni sopraesposte, che raccolgono l’insieme degli elementi risultanti dagli atti, si deve riconoscere che non è possibile stabilire con sufficiente certezza l’intenzione del richiedente di lasciare la Svizzera, e lo spazio Schengen, prima della scadenza del visto richiesto (cfr. art. 21 cpv. 1 del codice dei visti).</w:t>
      </w:r>
    </w:p>
    <w:p>
      <w:r>
        <w:rPr>
          <w:b/>
        </w:rPr>
        <w:t>E. 9</w:t>
      </w:r>
    </w:p>
    <w:p>
      <w:r>
        <w:t>In conclusione, respingendo l’opposizione della ricorrente contro la deci- sione di rifiuto dell’Ambasciata di Svizzera a Abu Dhabi di rilasciare al ri- chiedente un visto Schengen di breve durata (90 giorni), la SEM non ha violato la normativa Schengen e il diritto federale (cfr. art. 49 lett. a PA). Pertanto, il ricorso deve essere respinto e la decisione su opposizione con- fermata.</w:t>
      </w:r>
    </w:p>
    <w:p>
      <w:r>
        <w:rPr>
          <w:b/>
        </w:rPr>
        <w:t>E. 10</w:t>
      </w:r>
    </w:p>
    <w:p>
      <w:r>
        <w:t>Le spese processuali sono di regola messe a carico della parte soccom- bente e, in caso di soccombenza parziale, sono ridotte (art. 63 cpv. 1 PA). In concreto, considerato l’esito negativo del ricorso, le spese processuali di fr. 700.– sono poste a carico della ricorrente e prelevate sull’anticipo, dello stesso importo, da lei già versato. Alla ricorrente non sono assegnate spese ripetibili (art. 64 cpv. 1 PA e art. 7 cpv. 1 e 2 TS-TAF). (dispositivo pagina seguente)</w:t>
      </w:r>
    </w:p>
    <w:p>
      <w:r>
        <w:t>F-4879/2023 Pagina 10 Per questi motivi, il Tribunale amministrativo federale pronun- cia: 1. Il ricorso è respinto. 2. Le spese processuali di fr. 700.– sono poste a carico della ricorrente e pre- levate sull’anticipo, dello stesso importo, da lei già versato. 3. Non si assegnano indennità per spese ripetibili. 4. Questa sentenza è comunicata alla ricorrente e alla SEM.</w:t>
      </w:r>
    </w:p>
    <w:p>
      <w:r>
        <w:t>Il presidente del collegio: La cancelliera:</w:t>
      </w:r>
    </w:p>
    <w:p>
      <w:r>
        <w:t>Daniele Cattaneo Caroline Rausch</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