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F-4875/2023 vom 21. August 2023</w:t>
      </w:r>
    </w:p>
    <w:p>
      <w:r>
        <w:t>Bundesverwaltungsgericht, 2023-08-21, DE</w:t>
      </w:r>
    </w:p>
    <w:p>
      <w:r>
        <w:rPr>
          <w:b/>
        </w:rPr>
        <w:t xml:space="preserve">Quelle: </w:t>
      </w:r>
      <w:r>
        <w:t>https://mcp.opencaselaw.ch/entscheid/bvger_F-4875_2023_d20230821</w:t>
      </w:r>
    </w:p>
    <w:p>
      <w:r>
        <w:t>FR: TAF F-4875/2023 du 21 août 2023</w:t>
      </w:r>
    </w:p>
    <w:p>
      <w:r>
        <w:t>IT: TAF F-4875/2023 del 21 agosto 2023</w:t>
      </w:r>
    </w:p>
    <w:p>
      <w:pPr>
        <w:pStyle w:val="Heading2"/>
      </w:pPr>
      <w:r>
        <w:t>Regeste</w:t>
      </w:r>
    </w:p>
    <w:p>
      <w:r>
        <w:t>Schengen-Visum | Schengen-Visum; Verfügung des SEM vom 21. August 2023</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Beschwerdeführerin hat am vorangegangenen Einspracheverfah- ren teilgenommen und ist als Gastgeberin durch den angefochtenen Ent- scheid besonders berührt. Obwohl der ursprünglich angestrebte Besuchs- zeitraum inzwischen abgelaufen ist, kann auf ein fortbestehendes Rechts- schutzinteresse geschlossen werden. Die Beschwerdeführerin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w:t>
      </w:r>
    </w:p>
    <w:p>
      <w:r>
        <w:t>F-4875/2023 Seite 4 sind. Liegen keine Ablehnungsgründe vor, ist das Visum auszustellen; ein Rechtsfolgeermessen besteht nicht (so das Urteil des Europäischen Ge- 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w:t>
      </w:r>
    </w:p>
    <w:p>
      <w:r>
        <w:t>F-4875/2023 Seite 5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4</w:t>
      </w:r>
    </w:p>
    <w:p>
      <w:r>
        <w:t>Aufgrund ihrer Staatsangehörigkeit unterliegt die Gesuchstellerin der Vi- sumspflicht. Bei der Prüfung der Einreisevoraussetzungen nach Art. 6 Abs. 1 SGK ist die Frage der gesicherten Wiederausreise zentral.</w:t>
      </w:r>
    </w:p>
    <w:p>
      <w:r>
        <w:rPr>
          <w:b/>
        </w:rPr>
        <w:t>E. 4.1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4.2.1</w:t>
      </w:r>
    </w:p>
    <w:p>
      <w:r>
        <w:t>Indien ist ein Land extremer Gegensätze: Man findet dort boomende Zentren wie Mumbai, Delhi oder Bangalore und eine wachsende Anzahl an enorm reichen Familien, gleichzeitig aber auch Millionen Menschen, die in</w:t>
      </w:r>
    </w:p>
    <w:p>
      <w:r>
        <w:t>F-4875/2023 Seite 6 extremer Armut leben. Etwa 15 Prozent der dortigen Bevölkerung ist unter- ernährt. Der Welthunger-Index 2022 bewertet die Situation in Indien als ernst. Die öffentlichen Ausgaben für Bildung und Gesundheit reichen bis- lang nicht aus, um die gesamte Bevölkerung zu versorgen. Auch die Qua- lität der Angebote ist oft noch zu gering. Mängel bestehen ausserdem in der Infrastruktur: Ein Grossteil der Bevölkerung hat keinen beziehungs- weise nur unzureichenden Zugang zu Basisdienstleistungen wie Wasser- oder Sanitätsversorgung, angemessenem Wohnraum, Abfallentsorgung und Mobilität. So verfügt in Indien etwa 30 Prozent der Bevölkerung über keine eigene Toilette (vgl. &lt; https://www.bmz.de &gt; Länder &gt; Indien &gt; Aktu- elle Situation &gt; Extremer Reichtum, extreme Armut, abgerufen am 08.08.2024). Auf dem aktuellen Index der menschlichen Entwicklung, der durch das Entwicklungsprogramm der Vereinten Nationen im Sinne eines Wohlstandsindikators erstellt wird, belegt Indien sodann lediglich Platz 134 von 191 gelisteten Staaten (vgl. &lt; https://hdr.undp.org &gt; Data Center ˃ Country Insights &gt; India, abgerufen am 08.08.2024).</w:t>
      </w:r>
    </w:p>
    <w:p>
      <w:r>
        <w:rPr>
          <w:b/>
        </w:rPr>
        <w:t>E. 4.2.2</w:t>
      </w:r>
    </w:p>
    <w:p>
      <w:r>
        <w:t>Bezüglich der Lebensumstände von in Indien lebenden Tibetern kann ausgeführt werden, dass die meisten tibetischen Flüchtlinge in den 37 offi- ziellen und rund 70 informellen tibetischen Siedlungen leben, wobei ers- tere, so die Angaben des Tibet Justice Center aus dem Jahr 2011, als stark überbevölkert und landwirtschaftlich übernutzt gelten. Hohe Arbeitslosig- keit und Unterbeschäftigung der Exiltibeter sind ein zusätzliches Problem. Immerhin sind diejenigen, die in den offiziellen Siedlungen leben und dort registriert sind, im Vergleich zu den übrigen, die sich hauptsächlich über Indien und Nepal verteilen, deutlich bessergestellt (vgl. Urteil des BVGer F-3680/2022 vom 13. September 2023 E. 6.2). Indien hat weder die Genfer Flüchtlingskonvention unterzeichnet, noch nationale Rechtsvorschriften für den Schutz von Flüchtlingen erlassen. Chinesen tibetischer Ethnie gelten nach indischem Recht als Ausländer, unabhängig davon, wie lange sie sich bereits in Indien aufhalten. Tibetische Flüchtlinge unterliegen als Ausländer einer Reihe von Beschränkungen, die ihre Möglichkeiten einschränken, im In- und Ausland frei zu reisen, Eigentum in ihrem eigenen Namen zu besit- zen, sich für staatliche Stellen oder Plätze in Bildungseinrichtungen zu qua- lifizieren und an indischen Wahlen teilzunehmen (vgl. &lt; https://tibetanle- galassociation.org/en/legal-overview-of-the-status-of-tibetans-in-india/ &gt; 25.05.2022, abgerufen am 08.08.2024).</w:t>
      </w:r>
    </w:p>
    <w:p>
      <w:r>
        <w:rPr>
          <w:b/>
        </w:rPr>
        <w:t>E. 4.3</w:t>
      </w:r>
    </w:p>
    <w:p>
      <w:r>
        <w:t>Vor diesem Hintergrund ist nicht zu beanstanden, dass die Vorinstanz das Risiko einer nicht fristgerechten Wiederausreise von Besucherinnen</w:t>
      </w:r>
    </w:p>
    <w:p>
      <w:r>
        <w:t>F-4875/2023 Seite 7 und Besuchern aus Indien respektive von in Indien lebenden Tibeterinnen und Tibetern allgemein als hoch einschätzt.</w:t>
      </w:r>
    </w:p>
    <w:p>
      <w:r>
        <w:rPr>
          <w:b/>
        </w:rPr>
        <w:t>E. 4.4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erleichtern kann. Angesichts der restriktiven Zulas- sungsregelung führt dies nicht selten zur Umgehung von ausländerrechtli- chen Bestimmungen, indem die Gesuchstellenden – einmal eingereist – versuchen, den Aufenthalt auf eine andere rechtliche Basis abzustützen (BVGE 2014/1 E. 6.2.2).</w:t>
      </w:r>
    </w:p>
    <w:p>
      <w:r>
        <w:rPr>
          <w:b/>
        </w:rPr>
        <w:t>E. 5.1</w:t>
      </w:r>
    </w:p>
    <w:p>
      <w:r>
        <w:t>Die Beschwerdeführerin führt in Bezug auf die beruflichen, sozialen und familiären Verpflichtungen der Gesuchstellerin aus, dieser würden in Indien Verpflichtungen obliegen, welche ihre anstandslose Wiederausreise als sicher erscheinen liessen. Sie studiere in Indien Tibetologie; das Stu- dium dauere noch bis am 31. Juli 2025. Sie sehe auch ihre berufliche Zu- kunft in Indien. Mit ihrem Studium habe sie aufgrund der grossen tibeti- schen Diaspora in Indien sehr gute Jobaussichten. Sie verfüge über ein breites soziales Umfeld. So würden etwa ihre Tante, ihr Onkel und weitere Verwandte dort leben. Sie habe viele Freundinnen und Freunde, die wie eine Familie für sie seien und sei seit rund fünf Jahren in einer festen Be- ziehung. Mit ihrem Partner habe sie Zukunftspläne in Indien.</w:t>
      </w:r>
    </w:p>
    <w:p>
      <w:r>
        <w:rPr>
          <w:b/>
        </w:rPr>
        <w:t>E. 5.2</w:t>
      </w:r>
    </w:p>
    <w:p>
      <w:r>
        <w:t>Bei der Gesuchstellerin handelt es sich um die mittlerweile (…)-jährige, ledige und kinderlose Tochter der Beschwerdeführerin. Als besondere so- ziale und familiäre Verpflichtung bringt die Beschwerdeführerin vor, die Ge- suchstellerin befinde sich in einer langjährigen Beziehung und verfüge über</w:t>
      </w:r>
    </w:p>
    <w:p>
      <w:r>
        <w:t>F-4875/2023 Seite 8 Verwandte in Indien (namentlich einen Onkel, eine Tante und einen Cousin). Durch die in der Beschwerde eingereichten gemeinsamen Fotos sowie das Schreiben des Partners vom 12. September 2023 wurde die gel- tend gemachte partnerschaftliche Beziehung genügend belegt. Ebenso ist belegt, dass die Gesuchstellerin in Indien über Verwandte verfügt. Gemäss Ausführungen der Beschwerdeführerin leben nebst ihr – der Mutter – auch der Vater und der Bruder der Gesuchstellerin in der Schweiz. Dies erhöht das Emigrationsrisiko, da sie in der Schweiz durch ihre hier lebende Fami- lie über ein vorbestehendes Beziehungsnetz verfügt (vgl. E. 4.4). Die Ge- suchstellerin verfügt in Indien zweifelsohne über eine gewisse soziale Ein- bindung in ein familiäres sowie partnerschaftliches Gefüge. Aufgrund der Anwesenheit der Kernfamilie in der Schweiz dürfte jedoch auch die Anwe- senheit von Verwandten in Indien (Onkel, Tante, Cousin) sie nicht wirksam von einer Emigration abhalten können. Sodann bestehen – soweit ersicht- lich – auch keine familiären Verpflichtungen der Gesuchstellerin gegenüber ihrer in Indien lebenden Familie. Insbesondere ergibt sich weder aus den Parteivorbringen noch aus dem Schreiben des Partners vom 12. Septem- ber 2023, dass dieser auf die Anwesenheit der Gesuchstellerin angewie- sen wäre. Zurückbleibende nahe Angehörige – und damit auch ein Partner – können gerade in Situationen angespannter wirtschaftlicher Verhältnisse regelmässig nicht verlässlich davon abhalten, den Entschluss für eine Emigration zu fällen, zumal die Hoffnung besteht, die Zurückgebliebenen aus dem Ausland effizienter unterstützen oder später allenfalls gar nach- ziehen zu können.</w:t>
      </w:r>
    </w:p>
    <w:p>
      <w:r>
        <w:rPr>
          <w:b/>
        </w:rPr>
        <w:t>E. 5.3</w:t>
      </w:r>
    </w:p>
    <w:p>
      <w:r>
        <w:t>Die Gesuchstellerin studiert am C._______ in D._______ (Indien) Ti- betologie. Selbst wenn das Studium sowie das gewählte Studienfach eine gewisse Verbundenheit mit Indien nach sich zieht, vermag dieses für sich allein – wie von der Vorinstanz richtigerweise vorgebracht – die Bedenken an einer rechtzeitigen Wiederausreise nicht aus dem Weg zu räumen.</w:t>
      </w:r>
    </w:p>
    <w:p>
      <w:r>
        <w:rPr>
          <w:b/>
        </w:rPr>
        <w:t>E. 5.4.1</w:t>
      </w:r>
    </w:p>
    <w:p>
      <w:r>
        <w:t>Sodann führt die Beschwerdeführerin in Bezug auf die finanziellen Verhältnisse der Gesuchstellerin aus, die Schule übernehme sämtliche Le- benshaltungskosten. Die Gesuchstellerin sei daher finanziell unabhängig.</w:t>
      </w:r>
    </w:p>
    <w:p>
      <w:r>
        <w:rPr>
          <w:b/>
        </w:rPr>
        <w:t>E. 5.4.2</w:t>
      </w:r>
    </w:p>
    <w:p>
      <w:r>
        <w:t>Auch in finanzieller Hinsicht kann nichts zu Gunsten der Gesuchstel- lerin abgeleitet werden. Sie ist Studentin. Das auf die Gesuchstellerin lau- tende Bankkonto der State Bank of India (SBI) wies per 18. Mai 2023 einen Saldo von INR 135'667.– beziehungsweise umgerechnet Fr. 1'473.– (Um- rechnungskurs am 6. Mai 2024) aus (vgl. Bankauszug SBI; da aus dem</w:t>
      </w:r>
    </w:p>
    <w:p>
      <w:r>
        <w:t>F-4875/2023 Seite 9 Bankauszug die Währung nicht ersichtlich wird, ist von Rupien auszuge- hen). Ein regelmässiges Einkommen oder Vermögen wird nicht geltend ge- macht. Daran ändert auch die Tatsache nichts, dass das C._______ sämt- liche Kosten in Bezug auf ihre Ausbildung, Unterbringung, Verpflegung und den Alltag übernimmt, wie dieses mit Schreiben vom 1. September 2023 bestätigt. Nicht ausgewiesen ist, in welcher Höhe das C._______ die Ge- suchstellerin unterstützt. Die Unterstützung dauert – soweit ersichtlich – einzig noch bis Ende des Bachelor-Studiengangs, somit bis Ende Juli 2025. Danach dürfte die Gesuchstellerin finanziell auf sich selbst gestellt sein. Zwar werden sämtliche Kosten der Gesuchstellerin durch ihre Univer- sität getragen. Es kann jedoch – angesichts des fehlenden Einkommens und Vermögens – bei der Gesuchstellerin trotz des Stipendiums nicht von wirtschaftlich günstigen Verhältnissen ausgegangen werden. Gegen das Vorliegen von wirtschaftlich günstigen oder privilegierten Verhältnissen spricht sodann, dass sämtliche mit dem Besuchsaufenthalt verbundenen Kosten von der Beschwerdeführerin übernommen würden. Einen hinrei- chenden Beleg einer sicheren wirtschaftlichen Existenz in Indien, welche sie von einer Emigration abhalten könnte, bleibt die Gesuchstellerin schul- dig.</w:t>
      </w:r>
    </w:p>
    <w:p>
      <w:r>
        <w:rPr>
          <w:b/>
        </w:rPr>
        <w:t>E. 5.5</w:t>
      </w:r>
    </w:p>
    <w:p>
      <w:r>
        <w:t>Unter Berücksichtigung der allgemeinen Situation im Herkunftsland und vor dem dargelegten persönlichen Hintergrund durfte die Vorinstanz davon ausgehen, dass keine hinreichende Gewähr für eine fristgerechte und anstandslose Wiederausreise der Gesuchstellerin nach einem Be- suchsaufenthalt besteht. Zwar ist der infrage stehende Aufenthaltszweck zeitlich und inhaltlich klar umrissen – nämlich ein einmonatiger Besuch bei ihrer in der Schweiz lebenden Mutter –, dennoch lassen die persönlichen Lebensumstände der Gesuchstellerin in Indien – soweit bekannt – nicht auf eine ausreichende Gewähr für die fristgerechte Wiederausreise schlies- sen.</w:t>
      </w:r>
    </w:p>
    <w:p>
      <w:r>
        <w:rPr>
          <w:b/>
        </w:rPr>
        <w:t>E. 5.6</w:t>
      </w:r>
    </w:p>
    <w:p>
      <w:r>
        <w:t>An dieser Einschätzung vermag die von der Beschwerdeführerin unter- zeichnete Verpflichtungserklärung nichts zu ändern. An ihren guten Absich- ten ist hierbei nicht zu zweifeln. Jedoch gilt es zu bedenken, dass sie in ihrer Eigenschaft als Gastgeberin zwar für gewisse finanzielle Risiken Ga- rantie leisten kann, nicht aber – mangels rechtlicher und faktischer Durch- setzbarkeit – für ein bestimmtes Verhalten der eingeladenen Personen (vgl. BVGE 2014/1 E. 6.3.7 und BVGE 2009/27 E. 9). Daran vermag auch die in der Replik ausgesprochene Bereitschaft, eine Garantieerklärung zu hinterlegen, nichts zu ändern. Demnach wurde der Gesuchstellerin das Vi- sum für den gesamten Schengen-Raum zu Recht verweigert.</w:t>
      </w:r>
    </w:p>
    <w:p>
      <w:r>
        <w:t>F-4875/2023 Seite 10</w:t>
      </w:r>
    </w:p>
    <w:p>
      <w:r>
        <w:rPr>
          <w:b/>
        </w:rPr>
        <w:t>E. 6</w:t>
      </w:r>
    </w:p>
    <w:p>
      <w:r>
        <w:t>Es ist in der Folge zu prüfen, ob ein Visum mit räumlich beschränkter Gül- tigkeit erteilt werden kann (vgl. E. 3.4).</w:t>
      </w:r>
    </w:p>
    <w:p>
      <w:r>
        <w:rPr>
          <w:b/>
        </w:rPr>
        <w:t>E. 6.1</w:t>
      </w:r>
    </w:p>
    <w:p>
      <w:r>
        <w:t>Die Beschwerdeführerin bringt vor, die Gesuchstellerin habe ihre Mut- ter, ihren Vater und ihren Bruder sehr lange nicht mehr gesehen. Ein Be- such der gesamten Familie in Indien wäre sehr kostenintensiv. Der Familie sei es nicht zumutbar, ihr Familienleben ausserhalb der Schweiz zu führen, weshalb die Verweigerung der Visumserteilung eine Verletzung von Art. 8 EMRK darstelle.</w:t>
      </w:r>
    </w:p>
    <w:p>
      <w:r>
        <w:rPr>
          <w:b/>
        </w:rPr>
        <w:t>E. 6.2</w:t>
      </w:r>
    </w:p>
    <w:p>
      <w:r>
        <w:t>Art. 8 EMRK und Art. 13 Abs. 1 BV schützen das Familienleben als sol- ches und insbesondere die Kernfamilie (BGE 144 I 266 E. 3.3; 135 I 143 E. 3.1). Bei hinreichender Intensität können auch weitere Beziehungen zwi- schen nahen Verwandten, namentlich solche von erwachsenen Kindern zu ihren Eltern oder unter Geschwistern, in den Schutzbereich fallen, sofern zwischen den beteiligten Personen ein über die normalen affektiven Bin- dungen hinausgehendes Abhängigkeitsverhältnis besteht (BGE 144 II 1 E. 6.1; 137 I 154 E. 3.4.2).</w:t>
      </w:r>
    </w:p>
    <w:p>
      <w:r>
        <w:rPr>
          <w:b/>
        </w:rPr>
        <w:t>E. 6.3</w:t>
      </w:r>
    </w:p>
    <w:p>
      <w:r>
        <w:t>Ein Abhängigkeitsverhältnis im Sinne der Rechtsprechung zwischen der (…)-jährigen Gesuchstellerin und ihrer Mutter (der Beschwerdeführe- rin), ihrem Vater und ihrem Bruder wird nicht geltend gemacht und ist auch nicht ersichtlich. Die Beziehung fällt – wie auch von der Vorinstanz in der Vernehmlassung richtigerweise dargelegt – folglich nicht in den Schutzbe- reich des Rechts auf Achtung des Familienlebens gemäss Art. 8 Ziff. 1 EMRK.</w:t>
      </w:r>
    </w:p>
    <w:p>
      <w:r>
        <w:rPr>
          <w:b/>
        </w:rPr>
        <w:t>E. 6.4</w:t>
      </w:r>
    </w:p>
    <w:p>
      <w:r>
        <w:t>Weitere Gründe humanitärer oder anderer Art, welche die Erteilung ei- nes Visums mit räumlich beschränkter Gültigkeit rechtfertigen könnten, wurden nicht geltend gemacht und sind auch nicht ersichtlich.</w:t>
      </w:r>
    </w:p>
    <w:p>
      <w:r>
        <w:rPr>
          <w:b/>
        </w:rPr>
        <w:t>E. 7</w:t>
      </w:r>
    </w:p>
    <w:p>
      <w:r>
        <w:t>Die angefochtene Verfügung erweist sich somit im Lichte von Art. 49 VwVG als rechtmässig und die Beschwerde ist abzuweisen.</w:t>
      </w:r>
    </w:p>
    <w:p>
      <w:r>
        <w:rPr>
          <w:b/>
        </w:rPr>
        <w:t>E. 8</w:t>
      </w:r>
    </w:p>
    <w:p>
      <w:r>
        <w:t>Bei diesem Ausgang des Verfahrens sind die Kosten der Beschwerdefüh- rerin aufzuerlegen (vgl. Art. 63 Abs. 1 VwVG i.V.m. Art. 1 ff. des Regle- ments vom 21. Februar 2008 über die Kosten und Entschädigungen vor dem Bundesverwaltungsgericht [VGKE, SR 173.320.2]). Sie sind durch</w:t>
      </w:r>
    </w:p>
    <w:p>
      <w:r>
        <w:t>F-4875/2023 Seite 11 den am 27. September 2023 in gleicher Höhe geleisteten Kostenvorschuss gedeckt. (Dispositiv nächste Seite)</w:t>
      </w:r>
    </w:p>
    <w:p>
      <w:r>
        <w:t>F-4875/2023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