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F-4873/2018 vom 9. Juli 2019</w:t>
      </w:r>
    </w:p>
    <w:p>
      <w:r>
        <w:t>Bundesverwaltungsgericht, 2019-07-09, FR</w:t>
      </w:r>
    </w:p>
    <w:p>
      <w:r>
        <w:rPr>
          <w:b/>
        </w:rPr>
        <w:t xml:space="preserve">Quelle: </w:t>
      </w:r>
      <w:r>
        <w:t>https://mcp.opencaselaw.ch/entscheid/bvger_F-4873_2018</w:t>
      </w:r>
    </w:p>
    <w:p>
      <w:r>
        <w:t>FR: TAF F-4873/2018 du 9 juillet 2019</w:t>
      </w:r>
    </w:p>
    <w:p>
      <w:r>
        <w:t>IT: TAF F-4873/2018 del 9 luglio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2.1Le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2.2</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al. 2 let. a et let. c LEtr (sur lequel se fonde la décision querellée) a été repris textuellement au nouvel art. 67 al. 2 let. a et let. c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3.1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3.2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w:t>
      </w:r>
    </w:p>
    <w:p>
      <w:r>
        <w:rPr>
          <w:b/>
        </w:rPr>
        <w:t>E. 3.2.1</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3.2.2</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l'arrêt du TAF F-1880/2017 du 3 avril 2018 consid. 4.4.3 et réf. cit.).</w:t>
      </w:r>
    </w:p>
    <w:p>
      <w:r>
        <w:rPr>
          <w:b/>
        </w:rPr>
        <w:t>E. 3.2.3</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3.3</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4.1</w:t>
      </w:r>
    </w:p>
    <w:p>
      <w:r>
        <w:t>En l'occurrence, le SEM a prononcé à l'endroit de A._______ une décision d'interdiction d'entrée en Suisse d'une durée de trois ans, d'une part, au motif qu'il n'avait pas respecté le délai de départ qui lui avait été imparti dans la décision de renvoi de l'OCPM du 22 juin 2017, d'autre part, au motif qu'il avait attenté à la sécurité et à l'ordre publics au sens de l'art. 67 al. 2 LEtr, en séjournant et en travaillant en Suisse sans être au bénéfice d'une autorisation idoine. Le Tribunal relève d'abord qu'il n'est clairement pas établi si le recourant a effectivement respecté ou non le délai de départ qui lui avait été imparti dans la décision de l'OCPM, dès lors que la carte de sortie qui lui avait été remise afin de connaître la date effective de sa sortie de Suisse n'a pas été retournée à l'OCPM et que des recherches entreprises par la suite n'ont pas permis de retrouver la trace de l'intéressé. Dans ces circonstances, le SEM n'était pas fondé à conclure, comme il l'a retenu dans sa décision attaquée, que l'intéressé « n'a pas quitté la Suisse dans le délai imparti ».</w:t>
      </w:r>
    </w:p>
    <w:p>
      <w:r>
        <w:rPr>
          <w:b/>
        </w:rPr>
        <w:t>E. 4.2</w:t>
      </w:r>
    </w:p>
    <w:p>
      <w:r>
        <w:t>Sur un autre plan il ressort toutefois clairement du dossier (cf. notamment les propres déclarations de l'intéressé, ainsi que la condamnation pénale prononcée à son endroit le 21 août 2017 par le Ministère public de la République et canton de Genève), que A._______ a séjourné et travaillé en Suisse sur une très longue période sans être titulaire d'aucune autorisation de séjour à cet effet et qu'il était au surplus parfaitement conscient des infractions aux prescription légales dont il se rendait ainsi coupable. Dans son mémoire de recours, A._______ n'a d'ailleurs nullement contesté les faits ayant fondé le prononcé d'une interdiction d'entrée à son endroit, mais s'est seulement efforcé d'en minimiser la gravité, en se prévalant de motifs d'ordre économique qui l'avaient, selon lui, poussé à venir en Suisse pour y améliorer sa situation financière et celle de sa famille.</w:t>
      </w:r>
    </w:p>
    <w:p>
      <w:r>
        <w:rPr>
          <w:b/>
        </w:rPr>
        <w:t>E. 4.3</w:t>
      </w:r>
    </w:p>
    <w:p>
      <w:r>
        <w:t>Il ressort à cet égard de la jurisprudence constante du Tribunal que le fait d'entrer, de séjourner et/ou de travailler en Suisse sans autorisation constitue une violation grave des prescriptions de police des étrangers justifiant le prononcé d'une mesure d'éloignement à l'endroit de l'étranger concerné (cf. notamment les arrêts du Tribunal administratif fédéral F-5267/2015 du 18 août 2016 consid. 4.5.3 et C-1383/2014 du 19 mai 2015 consid. 5.5 et la jurisprudence citée). Aussi, en considération de ce qui précède, force est d'admettre que l'interdiction d'entrée prononcée le 6 octobre 2017 en application de l'art. 67 al. 2 let. a LEtr est parfaitement justifiée dans son principe, l'intéressé ayant effectivement attenté à la sécurité et à l'ordre publics par son comportement. 5.Il convient encore d'examiner si la mesure d'éloignement prise par l'autorité intimée satisfait aux principes de proportionnalité et de l'égalité de traitement. 5.1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 5.2 En l'espèce, s'agissant de l'intérêt public à l'éloignement du recourant de Suisse, le Tribunal observe que les motifs retenus à l'appui de la mesure d'éloignement prise à l'endroit de A._______ (séjour et travail illégal) ne sauraient être contestés. Les infractions aux prescriptions de police des étrangers ainsi perpétrées doivent par ailleurs être qualifiées de graves au sens indiqué plus haut (cf. consid. 5.2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F-5267/2015 consid. 6.3 et la référence citée). 5.3 S'agissant de l'intérêt privé du recourant à pouvoir se déplacer librement en Suisse, A._______ a essentiellement mis en avant des motifs économiques, soit le désir de pouvoir travailler en Suisse pour y assurer la subsistance de sa famille au Kosovo. Le Tribunal observe également que le recourant n'a pas allégué disposer en Suisse d'attaches particulièrement étroites sur le plan familial, social ou économique et que sa proche famille, soit son épouse et ses enfants, demeurent au Kosovo. 5.4 Aussi, compte tenu de l'ensemble des éléments objectifs et subjectifs de la cause, le Tribunal est amené à conclure que la mesure d'éloignement prononcée par l'autorité inférieure le 6 octobre 2017 est nécessaire et adéquate afin de prévenir toute nouvelle atteinte à la sécurité et à l'ordre publics en Suisse. En outre, la durée de la mesure respecte le principe de proportionnalité et correspond à celle prononcée dans des cas analogues (cf. à cet égard par exemple l'arrêt du Tribunal du 21 mai 2019 dans la cause F-6416/2018). 5.5 En outre, le Tribunal constate qu'il n'existe pas de raisons humanitaires ou d'autres motifs importants justifiant l'abstention ou la suspension de la mesure d'éloignement au sens de de l'art. 67 al. 5 LEtr.</w:t>
      </w:r>
    </w:p>
    <w:p>
      <w:r>
        <w:rPr>
          <w:b/>
        </w:rPr>
        <w:t>E. 6</w:t>
      </w:r>
    </w:p>
    <w:p>
      <w:r>
        <w:t>Dans le cas d'espèce, un signalement au SIS est par ailleurs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 Le recourant n'a par ailleurs, ni allégué, ni établi, dans le cadre de la présente procédure, qu'il aurait obtenu un titre de séjour dans un pays de l'Espace Schengen. 7.Eu égard aux considérants qui précèdent, le Tribunal est amené à conclure que la décision querellée est conforme au droit (cf. art. 49 PA). Le recours est en conséquence rejeté. Au vu de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