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F-4852/2021 vom 31. Januar 2024</w:t>
      </w:r>
    </w:p>
    <w:p>
      <w:r>
        <w:t>Bundesverwaltungsgericht, 2024-01-31, DE</w:t>
      </w:r>
    </w:p>
    <w:p>
      <w:r>
        <w:rPr>
          <w:b/>
        </w:rPr>
        <w:t xml:space="preserve">Quelle: </w:t>
      </w:r>
      <w:r>
        <w:t>https://mcp.opencaselaw.ch/entscheid/bvger_F-4852_2021</w:t>
      </w:r>
    </w:p>
    <w:p>
      <w:r>
        <w:t>FR: TAF F-4852/2021 du 31 janvier 2024</w:t>
      </w:r>
    </w:p>
    <w:p>
      <w:r>
        <w:t>IT: TAF F-4852/2021 del 31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t>F-4852/2021 Seite 8</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(Art. 29a Abs. 1 und 2 der Asylverordnung 1 vom 11. August 1999 [AsylV 1, SR 142.311]; vgl. dazu BVGE 2017 VI/5 E. 6.2).</w:t>
      </w:r>
    </w:p>
    <w:p>
      <w:r>
        <w:rPr>
          <w:b/>
        </w:rPr>
        <w:t>E. 3.2</w:t>
      </w:r>
    </w:p>
    <w:p>
      <w:r>
        <w:t>Gemäss Art. 3 Abs. 1 Dublin-III-VO wird jeder Asylantrag von einem einzigen Mitgliedstaat geprüft, der nach den im Kapitel III dargelegten Kri- terien (Art. 8–15 Dublin-III-VO) als zuständiger Staat bestimmt wird (vgl. auch Art. 7 Abs. 1 Dublin-III-VO). Im Rahmen des – hier interessierenden – Wiederaufnahmeverfahrens (Art. 23–25 Dublin-III-VO) findet grundsätz- lich keine (neue) Zuständigkeitsprüfung nach Kapitel III Dublin-III-VO mehr statt. Die Zuständigkeit ergibt sich direkt aus Art. 18 Abs. 1 Bst. b–d bezie- hungsweise Art. 20 Abs. 5 Dublin-III-VO (vgl. statt vieler: Urteil des BVGer F-1959/2023 vom 19. April 2023 E. 3.2 m.w.H.).</w:t>
      </w:r>
    </w:p>
    <w:p>
      <w:r>
        <w:rPr>
          <w:b/>
        </w:rPr>
        <w:t>E. 3.3</w:t>
      </w:r>
    </w:p>
    <w:p>
      <w:r>
        <w:t>Die sich aus Art. 18 Abs. 1 Dublin-III-VO ergebende Zuständigkeit geht mit der Erteilung eines Aufenthaltstitels durch einen Mitgliedstaat auf die- sen Mitgliedstaat über (Art. 19 Abs. 1 Dublin-III-VO). Als «Aufenthaltstitel» gilt dabei jede von den Behörden eines Mitgliedstaates erteilte Erlaubnis, sich im Hoheitsgebiet dieses Mitgliedstaats aufzuhalten, einschliesslich der Dokumente, mit denen die Genehmigung des Aufenthalts im Rahmen einer</w:t>
      </w:r>
    </w:p>
    <w:p>
      <w:r>
        <w:t>F-4852/2021 Seite 9 Regelung des vorübergehenden Schutzes oder bis zu dem Zeitpunkt, zu dem die eine Ausweisung verhindernden Umstände nicht mehr gegeben sind, nachgewiesen werden kann; ausgenommen sind Visa und Aufent- haltstitel, die während des Asylverfahrens oder des Verfahrens auf Ertei- lung eines Aufenthaltstitels erteilt wurden (Art. 2 Bst. l Dublin-III-VO);</w:t>
      </w:r>
    </w:p>
    <w:p>
      <w:r>
        <w:rPr>
          <w:b/>
        </w:rPr>
        <w:t>E. 4.1</w:t>
      </w:r>
    </w:p>
    <w:p>
      <w:r>
        <w:t>Den Akten kann entnommen werden, dass der Beschwerdeführer am 29. August 2016 in Dänemark um Asyl nachsuchte. Mit Entscheid vom 13. Oktober 2016 wurde ihm zwar die Anerkennung als Flüchtling versagt. Es wurde ihm jedoch wegen der allgemeinen Lage in Syrien der temporäre Schutzstatus («midlertidig beskyttelsesstatus») durch die Erteilung des da- für vorgesehenen Aufenthaltstitels nach Art. 7 Abs. 3 DK-AuslG gewährt. Der Schutzstatus wurde dem Beschwerdeführer in der Folge am 29. Sep- tember 2021 rechtskräftig entzogen, und er wurde aus Dänemark wegge- wiesen. Daraufhin begab er sich in die Schweiz und stellte das streitgegen- ständliche Asylgesuch.</w:t>
      </w:r>
    </w:p>
    <w:p>
      <w:r>
        <w:rPr>
          <w:b/>
        </w:rPr>
        <w:t>E. 4.2</w:t>
      </w:r>
    </w:p>
    <w:p>
      <w:r>
        <w:t>Es ist unbestritten und wurde von den dänischen Behörden im Rah- men ihrer Zustimmung zum Wiederaufnahmegesuch der Vorinstanz aner- kannt, dass unter den gegebenen Umständen die grundsätzliche Zustän- digkeit zur Durchführung des Asyl- und Wegeweisungsverfahrens bei Dä- nemark liegt. Ob sich diese Zuständigkeit, wie die Vorinstanz und die däni- schen Behörden annehmen, aus Art. 18 Abs. 1 Bst. d Dublin-III VO ergibt oder aber infolge der Erteilung eines dänischen Aufenthaltstitels aus Art. 19 Abs. 1 Dublin-III-VO, kann offengelassen werden. Nachfolgend ist zu prü- fen, ob Gründe für einen Übergang dieser Zuständigkeit von Dänemark auf die Schweiz bestehen.</w:t>
      </w:r>
    </w:p>
    <w:p>
      <w:r>
        <w:rPr>
          <w:b/>
        </w:rPr>
        <w:t>E. 5.1</w:t>
      </w:r>
    </w:p>
    <w:p>
      <w:r>
        <w:t>Als mögliche Rechtsgrundlage für den Zuständigkeitsübergang auf die Schweiz kommen Art. 3 Abs. 2 Unterabs. 2 und 3 Dublin-III-VO in Betracht:</w:t>
      </w:r>
    </w:p>
    <w:p>
      <w:r>
        <w:rPr>
          <w:b/>
        </w:rPr>
        <w:t>E. 5.2</w:t>
      </w:r>
    </w:p>
    <w:p>
      <w:r>
        <w:t>Gemäss Art. 3 Abs. 2 Unterabs. 2 und 3 Dublin-III-VO kann der die Zuständigkeit prüfende Mitgliedstaat zuständig werden, wenn es sich als unmöglich erweist, Antragstellende an den zunächst als zuständig be- stimmten Mitgliedstaat zu überstellen, weil es wesentliche Gründe für die Annahme gibt, dass das Asylverfahren und die Aufnahmebedingungen für Antragstellende in diesem Mitgliedstaat systemische Schwachstellen auf- weisen, die eine Gefahr einer unmenschlichen oder entwürdigenden Be- handlung im Sinne des Art. 4 der Charta der Grundrechte der Europäischen</w:t>
      </w:r>
    </w:p>
    <w:p>
      <w:r>
        <w:t>F-4852/2021 Seite 10 Union (EU-Grundrechtecharta, ABl. C 364/1 vom 18.12.2000; entspricht Art. 3 EMRK) mit sich bringen.</w:t>
      </w:r>
    </w:p>
    <w:p>
      <w:r>
        <w:rPr>
          <w:b/>
        </w:rPr>
        <w:t>E. 5.3</w:t>
      </w:r>
    </w:p>
    <w:p>
      <w:r>
        <w:t>Systemische Mängel sind nur anzunehmen, wenn das Asylverfahren oder die Aufnahmebedingungen für asylsuchende Personen in diesem Mit- gliedstaat regelhaft so defizitär sind, dass zu erwarten ist, dass der asylsu- chenden Person auch im konkret zu entscheidenden Einzelfall dort mit be- achtlicher Wahrscheinlichkeit eine unmenschliche oder erniedrigende Be- handlung im Sinne von Art. 4 EU-Grundrechtecharta beziehungsweise Art. 3 EMRK droht (zur notwendigen Schwere vgl. Urteil des EuGH [Grosse Kammer] vom 19. März 2019 C-163/17 Jawo, EU:C:2019:218, Rn. 91 ff.). Solche systemischen Mängel sind im dänischen Asyl- und Aufnahmesys- tem nicht zu erkennen. Ein Übergang der Zuständigkeit von Dänemark auf die Schweiz gestützt auf Art. 3 Abs. 2 Unterabs. 2 und 3 Dublin-III-Verord- nung fällt nach dem Gesagten ausser Betracht (vgl. Urteile des BVGer F-1743/2020 vom 2. April 2020; F-348/2020 vom 29. Januar 2020 E. 5.3; D-3226/2019 vom 5. Juli 2019 E. 7.2; F-2858/2019 vom 17. Juni 2019 E. 6).</w:t>
      </w:r>
    </w:p>
    <w:p>
      <w:r>
        <w:rPr>
          <w:b/>
        </w:rPr>
        <w:t>E. 6.1</w:t>
      </w:r>
    </w:p>
    <w:p>
      <w:r>
        <w:t>Als eine weitere potentielle Rechtsgrundlage für einen Zuständigkeits- übergang auf die Schweiz ist Art. 17 Abs. 1 Dublin-III-VO zu prüfen.</w:t>
      </w:r>
    </w:p>
    <w:p>
      <w:r>
        <w:rPr>
          <w:b/>
        </w:rPr>
        <w:t>E. 6.2</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zwingend (BVGE 2015/9 E. 8.2.1).</w:t>
      </w:r>
    </w:p>
    <w:p>
      <w:r>
        <w:rPr>
          <w:b/>
        </w:rPr>
        <w:t>E. 6.3</w:t>
      </w:r>
    </w:p>
    <w:p>
      <w:r>
        <w:t>Zum Selbsteintritt aufgrund einer völkerrechtlichen Verpflichtung ist zu bemerken, dass Dänemark Signatarstaat der EMRK, des Übereinkom- mens vom 10. Dezember 1984 gegen Folter und andere grausame, un- menschliche oder erniedrigende Behandlung oder Strafe (FoK, SR 0.105) und des Abkommens vom 28. Juli 1951 über die Rechtsstellung der Flücht- linge (FK, SR 0.142.30) sowie des Zusatzprotokolls zur FK vom 31. Januar</w:t>
      </w:r>
    </w:p>
    <w:p>
      <w:r>
        <w:t>F-4852/2021 Seite 11 1967 (SR 0.142.301) ist. Dänemark wird ferner durch die EU-Grund- rechtecharta gebunden. Innerhalb des Dublin-Systems greift die Vermutung, dass die Behandlung von Asylsuchenden in jedem einzelnen Mitgliedstaat, also auch in Däne- mark, im Einklang mit dessen völker- und gemeinschaftsrechtlichen Ver- pflichtungen steht. Im Einzelfall kann die Vermutung von der asylsuchen- den Person widerlegt werden. Dafür braucht es konkrete Indizien, die glaubhaft darzutun sind (vgl. BVGE 2010/45 E. 7.4 f.; Urteil des BVGer D-5698/2017 vom 6. März 2018 E. 5.3.1).</w:t>
      </w:r>
    </w:p>
    <w:p>
      <w:r>
        <w:rPr>
          <w:b/>
        </w:rPr>
        <w:t>E. 6.4</w:t>
      </w:r>
    </w:p>
    <w:p>
      <w:r>
        <w:t>Zum ermessengelenkten Selbsteintritt aus humanitären Gründen ist festzuhalten, dass das SEM bei der Anwendung der Kann-Bestimmung von Art. 29a Abs. 3 AsylV 1 über einen Ermessensspielraum verfügt (vgl. BVGE 2015/9 E. 7 f.). Seit der Kognitionsbeschränkung durch die Asylge- setzrevision vom 1. Februar 2014 (Streichung der Angemessenheitskon- trolle des Bundesverwaltungsgerichts gemäss aArt. 106 Abs. 1 Bst. c AsylG) überprüft das Gericht den vorinstanzlichen Verzicht auf die Anwen- dung von Art. 29a Abs. 3 AsylV 1 nicht mehr auf Angemessenheit hin; das Gericht beschränkt seine Beurteilung nunmehr grundsätzlich darauf, ob das SEM den Sachverhalt diesbezüglich korrekt und vollständig erhoben, allen wesentlichen Umständen Rechnung getragen und seinen Ermes- sensspielraum genutzt hat (vgl. Art. 106 Abs. 1 Bst. a und b AsylG).</w:t>
      </w:r>
    </w:p>
    <w:p>
      <w:r>
        <w:rPr>
          <w:b/>
        </w:rPr>
        <w:t>E. 7.1</w:t>
      </w:r>
    </w:p>
    <w:p>
      <w:r>
        <w:t>Der Beschwerdeführer hält einer Überstellung nach Dänemark im We- sentlichen die Möglichkeit einer Kettenabschiebung und seinen schlechten gesundheitlichen Zustand entgegen. In diesem Zusammenhang lässt sich den Akten der folgende Sachverhalt entnehmen:</w:t>
      </w:r>
    </w:p>
    <w:p>
      <w:r>
        <w:rPr>
          <w:b/>
        </w:rPr>
        <w:t>E. 7.2</w:t>
      </w:r>
    </w:p>
    <w:p>
      <w:r>
        <w:t>Der Beschwerdeführer ist im Jahr 2015 nach Dänemark gelangt und hat dort ein Asylgesuch gestellt. Die dänische Migrationsbehörde verwei- gerte ihm zwar mit Entscheid vom 13. Oktober 2016 die Anerkennung als Flüchtling, gewährte ihm jedoch durch Erteilung des hierfür vorgesehenen Aufenthaltstitels einen temporären Schutzstatus nach Art. 7 Abs. 3 DK- AuslG. Der Grund dafür war, dass die dänische Migrationsbehörde davon ausging, dass dem Beschwerdeführer bei einer Rückkehr nach Syrien die Todesstrafe, Folter oder unmenschliche Behandlung oder Bestrafung drohe, und zwar nicht aus individuellen, in seiner Person liegenden Grün- den, sondern allein aufgrund der allgemeinen Bürgerkriegssituation in Sy- rien (DK-act. 337). Aufgrund einer geänderten Lagebeurteilung – die däni- schen Behörden gehen nicht länger davon aus, dass Personen im</w:t>
      </w:r>
    </w:p>
    <w:p>
      <w:r>
        <w:t>F-4852/2021 Seite 12 Grossraum Damaskus alleine aufgrund ihres Aufenthalts dort mit beachtli- cher Wahrscheinlichkeit einer nach Art. 3 EMRK verbotene Behandlung ausgesetzt sind – wurde dem Beschwerdeführer sein Aufenthaltstitel mit Urteil der dänischen Rechtsmittelinstanz im Asylrecht vom 29. September 2021 nicht weiter verlängert, und ihm wurde eine Frist von einem Monat zum Verlassen des Landes gesetzt (DK-act. 30 [dänische Fassung], Bei- lage zu Rek-act. 19 [Übersetzung ins Deutsche]).</w:t>
      </w:r>
    </w:p>
    <w:p>
      <w:r>
        <w:rPr>
          <w:b/>
        </w:rPr>
        <w:t>E. 7.3.1</w:t>
      </w:r>
    </w:p>
    <w:p>
      <w:r>
        <w:t>Den Akten kann nicht entnommen werden, ob der Beschwerdeführer im Jahr 2016 zusammen mit Ehefrau und Tochter in Dänemark um Asyl nachgesucht hatte. Fest steht jedoch, dass sie zuletzt ebenfalls in Däne- mark gelebt hatten und zum Zeitpunkt des Entscheids der dänischen Rechtsmittelinstanz im Asylrecht vom 29. September 2021 ebenfalls in Dä- nemark weilten und vor der dänischen Rechtsmittelinstanz im Migrations- recht «Udlændingenævnet» ein Verfahren auf Erteilung eines Aufenthalts- titels nach Art. 9 DK-AuslG anhängig war. Gemäss Mitteilung der däni- schen Behörden vom 29. Juni 2022 auf eine Anfrage der Vorinstanz ver- fügten Ehefrau und Tochter über keinen Aufenthaltstitel in Dänemark. Ihr Gesuch um Erteilung eines Aufenthaltstitels sei von der dänischen Rechts- mitteleintanz im Migrationsrecht vom 2. Dezember 2021 letztinstanzlich ab- gewiesen und ihnen selbst sei eine Frist zur Ausreise aus Dänemark bis zum 3. Januar 2022 gesetzt worden (Beilage zu Rek-act. 19). Nach Dar- stellung des Beschwerdeführers in der Eingabe vom 6. Februar 2023 hiel- ten sich die beiden mutmasslich in den Niederlanden auf, wo sie eine Auf- enthaltsbewilligung erhalten hätten. Das Verhältnis des Beschwerdeführers zu seiner Ehefrau und seiner Toch- ter ist seinen Angaben zufolge zerrüttet (Eingaben vom 31. Januar 2022 und 6. Februar 2023). Er habe sich mit ihnen hinsichtlich der Frage, in wel- ches Land die Familie von Dänemark aus ziehen solle, zerstritten. Seine Ehefrau habe sich geweigert, ihm in die Schweiz zu folgen, wohin er sich wegen seines Sohnes habe begeben wollen. Sie sei seinem Empfinden nach nicht mehr seine Ehefrau. Wenn es möglich wäre, würde er sich von ihr scheiden lassen. Er fühle sich von seinen Familienangehörigen im Stich gelassen und verraten. Am 26. Januar 2023 sei es seiner Rechtsvertretung gelungen, durch Vermittlung einer arabischsprechenden Mitarbeiterin tele- fonischen Kontakt mit seiner Tochter aufzunehmen. Diese habe erklärt, dass sie sich in den Niederlanden aufhalten würde. Sie werde «schauen», ob sie einen Beleg dafür schicken könne. Sie brauche Zeit um zu überle- gen, ob sie ihrem Vater helfen wolle. Seither habe sich die Tochter nicht</w:t>
      </w:r>
    </w:p>
    <w:p>
      <w:r>
        <w:t>F-4852/2021 Seite 13 gemeldet. Weitere Kontaktversuche seitens der Rechtsvertretung seien er- folglos geblieben.</w:t>
      </w:r>
    </w:p>
    <w:p>
      <w:r>
        <w:rPr>
          <w:b/>
        </w:rPr>
        <w:t>E. 7.3.2</w:t>
      </w:r>
    </w:p>
    <w:p>
      <w:r>
        <w:t>Der in der Schweiz lebende Sohn des Beschwerdeführers, B._______, gelangte bereits im Jahr 2013 in die Schweiz und ersuchte hier um Asyl. Mit Verfügung vom 12. Januar 2016 wurde sein Asylgesuch ab- gewiesen und er selbst aus der Schweiz weggewiesen. Eine Rückkehr nach Syrien wurde jedoch als nicht zumutbar bewertet, weshalb der Voll- zug der Wegweisung zugunsten einer vorläufigen Aufnahme aufgescho- ben wurde. Wegen unbewilligter Landesabwesenheit, während welcher B._______ in Deutschland um Asyl nachgesucht hatte, stellte die Vorinstanz mit Verfügung vom 19. August 2021 das Erlöschen der vorläu- figen Aufnahme fest. Eine dagegen erhobene Beschwerde ist zur Zeit vor dem Bundesverwaltungsgericht hängig. Das Verhältnis zwischen Vater und Sohn scheint gut zu sein. Zwar geht aus einem einzelnen, vom Beschwerdeführer als Beweismittel eingereich- ten Dokument hervor, dass dieser eine Zuweisung in den Wohnkanton sei- nes Sohnes strikt ablehne, weil die Beziehung «eher turbulent» sei und der Sohn selbst unter grossen gesundheitlichen Problemen leide (Antrag des Durchgangszentrums an die Asylkoordination des Kantons Zürich vom 21. Oktober 2022 um Erteilung einer Kostengutsprache für eine Sonderunter- bringung des Beschwerdeführers). Den Medizinalakten lässt sich jedoch entnehmen, dass der Sohn für den Beschwerdeführer in dessen prekärer gesundheitlicher Situation (vgl. dazu weiter unten) eine grosse Ressource darstelle. Er kümmere sich um ihn und stehe Ärzten und Pflegepersonal als enge Bezugsperson und Ansprechpartner zur Verfügung (ärztliche Be- richte des Geriatrischen Dienstes der Stadt Zürich vom 23. Januar 2023 und 6. Juli 2023).</w:t>
      </w:r>
    </w:p>
    <w:p>
      <w:r>
        <w:rPr>
          <w:b/>
        </w:rPr>
        <w:t>E. 7.4</w:t>
      </w:r>
    </w:p>
    <w:p>
      <w:r>
        <w:t>Der Gesundheitszustand des Beschwerdeführers des bald 79-jährigen Beschwerdeführers ist prekär.</w:t>
      </w:r>
    </w:p>
    <w:p>
      <w:r>
        <w:rPr>
          <w:b/>
        </w:rPr>
        <w:t>E. 7.4.1</w:t>
      </w:r>
    </w:p>
    <w:p>
      <w:r>
        <w:t>Gemäss eigener Aussage und den bei den dänischen Asylakten lie- genden Medizinalakten litt der Beschwerdeführer schon während seines Aufenthalts in Dänemark an diversen gesundheitlichen Beeinträchtigungen insbesondere urologischer, kardiologischer und neurologischer Natur (Nie- reninsuffizienz, Bluthochdruck, Herzflimmern, Schlaganfälle; vgl. dazu bei- spielhaft die Diagnoseliste im ärztlichen Bericht des dänischen Herlev Hos- pital vom 25. Januar 2021, DK-act. 63-67), derentwegen er wiederholt in ärztlicher Behandlung stand. In der Schweiz fiel er dem Pflegepersonal des Bundesasylzentrums, in dem er untergebracht war, von Anfang als eine</w:t>
      </w:r>
    </w:p>
    <w:p>
      <w:r>
        <w:t>F-4852/2021 Seite 14 sehr vulnerable und geschwächte Person auf, die an Krücken gehe und immer wieder sehr aufgelöst und leidend sei. Bereits einen Tag nach der Asylgesuchstellung in der Schweiz begab sich der Beschwerdeführer in Spitalpflege (vgl. Arztbericht der Klinik und Poliklinik für Innere Medizin am Universitätsspital Zürich vom. 9. Oktober 2021) und auch in der Folgezeit musste er immer wieder ärztliche Hilfe in Anspruch nehmen (vgl. ärztliche Kurzberichte des Ambulatoriums Kanonengasse vom 12. Oktober 2021, 18. November 2021, 26. November 2021, 29. November 2021, 10. De- zember 2021 und 16. Februar 2022).</w:t>
      </w:r>
    </w:p>
    <w:p>
      <w:r>
        <w:rPr>
          <w:b/>
        </w:rPr>
        <w:t>E. 7.4.2</w:t>
      </w:r>
    </w:p>
    <w:p>
      <w:r>
        <w:t>Am 4. Mai 2022 erlitt der Beschwerdeführer (zum wiederholten Mal) einen Schlaganfall und befand sich danach bis zum 30. Mai 2022 in Spital- pflege. Anschliessend war er in einem Durchgangszentrum untergebracht, von wo er am 12. August 2022 wegen schweren Depressionen, Lebens- müdigkeit, Schlaflosigkeit und Appetitverlust in die PUK Zürich zugewiesen wurde. Dort war er bis zum 1. November 2022 hospitalisiert. Wegen Selbst- versorgungsdefiziten und Pflegebedürftigkeit, die in einem Durchgangs- zentrum nicht aufgefangen werde konnten, erfolgte per 1. November 2022 seine Entlassung aus der Spitalpflege in die gerontopsychiatrische Pflege- wohngruppe R._______ (Austrittsbericht der PUK Zürich vom 16. Januar 2023, ärztlicher Bericht der Geriatrischen Dienste der Stadt Zürich vom 23. Januar 2023, Anträge des Durchgangszentrums an die Asylkoordina- tion des Kantons Zürich vom 21. Oktober 2022 und 5. Februar 2023 um Erteilung einer Kostengutsprache für eine Sonderunterbringung des Be- schwerdeführers, Standardisierte Pflegeplanung vom 28. Februar 2023). Am 13. April 2023 trat der Beschwerdeführer in die Pflegewohngruppe S._______ ein (ärztlicher Bericht des Geriatrischen Dienstes der Stadt Zü- rich vom 6. Juli 2023, Standardisierte Pflegeplanung vom 6. Juli 2023).</w:t>
      </w:r>
    </w:p>
    <w:p>
      <w:r>
        <w:rPr>
          <w:b/>
        </w:rPr>
        <w:t>E. 7.4.3</w:t>
      </w:r>
    </w:p>
    <w:p>
      <w:r>
        <w:t>Der ärztliche Bericht der Geriatrischen Dienste der Stadt Zürich vom 23. Januar 2023, angefertigt während des Aufenthalts des Beschwerdefüh- rers in der gerontopsychiatrischen Pflegewohngruppe R._______, ist das letzte ausführliche medizinische Dokument, das bei den Verfahrensakten liegt. Ihm können die folgenden Diagnosen entnommen werden: – Rezidivierende depressive Störung, gegenwärtig mittelgradige Episode (ICD-10: F33. 1) – Posttraumatische Belastungsstörung (ICD-10: F43. 1) – Vd. a. Persönlichkeits- und Verhaltensstörung aufgrund einer Krank- heit, Schädigung oder Funktionsstörung des Gehirns (ICD-10: F07.8) – DD bei Demenz</w:t>
      </w:r>
    </w:p>
    <w:p>
      <w:r>
        <w:t>F-4852/2021 Seite 15 – Neurokognitive Störung leichten Ausmasses, a.e. vaskulär und dege- nerativ bedingt, aggraviert durch eine rez. depressive Störung und PTBS (ICD-10: F 06.7) – Hirninfarkt, nicht näher bezeichnet (ICD-10: 163.9) (St. n. mehrmaligen CVI, zuletzt 04.08.2023 unter Rivaroxaban, St. n. Stroke) – Nichtorganische Insomnie (ICD-10: F51.0) – Schwindel: o.n.A. (R42) (ICD-10: R42) – Vorhofflimmern, permanent (ICD-10: 148.2) – Benigne essentielle Hypertonie (ICD-10: 110.0) – Sekundäre Schlüsselnummer zur Spezifizierung eines Hustens als chronisch idiopathisch und chronisch refraktär (ICD-10: U69.6) – Chronische Gastritis, nicht näher bezeichnet (ICD-10: K29.5) – Medikamentös induzierte Obstipation (ICD-10: K59.02) – Chronische Niereninsuffizienz – Normochrome, normozytäre Anämie – Prostata: Hypertrophie (N40) (ICD-10: N40) – Rückenschmerzen, nicht näher bezeichnet: Lumbosakralbereich (ICD-10: M54.97) – Trockenes Auge (H04.1) (ICD-10: H04.1) – Vitamin-D-Mangel, nicht näher bezeichnet (ICD-10: E55.9) – St. n. COVID-19, Virus nachgewiesen (ICD-10: U07.1) Als notwendige und angemessene Behandlung nennt der ärztliche Bericht eine integrierte, psychiatrisch-psychotherapeutische sowie, eine internisti- sche Behandlung und die Planung einer neurologischen Betreuung. An- sonsten bestehe die Gefahr einer Chronifizierung und Exazerbation der psychiatrischen Krankheiten, wie bereits in der Vergangenheit zu Lebens- müdigkeit und starker Krise geführt habe. Bei einer neurokognitiven Stö- rung sei die mittel- bis langfristige Prognose eher schlecht. Es handle sich hierbei um eine progressive degenerative Erkrankung, bei der eine Besse- rung der kognitiven Fähigkeiten nicht zu erwarten sei. Aus der Sicht der behandelnden Ärzte sei die Unterbringung in der geron- topsychiatrischen Pflegewohngruppe R._______ ein passendes Setting für den Beschwerdeführer. Vor dem Hintergrund mehrmaliger Schlaganfälle sei die organische Komponente der sich psychiatrisch äussernden Symp- tome genauer zu explorieren. Dies würde zu einer optimalen medikamen- tösen und psychotherapeutischen Betreuung führen. Aus psychosozialer Sicht seien das niederschwellige Setting in der Pflegewohngruppe und die Nähe des Sohnes für den Beschwerdeführer deutlich stabilisierend.</w:t>
      </w:r>
    </w:p>
    <w:p>
      <w:r>
        <w:t>F-4852/2021 Seite 16</w:t>
      </w:r>
    </w:p>
    <w:p>
      <w:r>
        <w:rPr>
          <w:b/>
        </w:rPr>
        <w:t>E. 7.4.4</w:t>
      </w:r>
    </w:p>
    <w:p>
      <w:r>
        <w:t>Während des nachfolgenden Aufenthalts des Beschwerdeführers in der Pflegewohngruppe S._______ wurde der Bericht des Geriatrischen Dienstes der Stadt Zürich vom 7. Juli 2023 angefertigt. Dieses aktuellste, bei den Verfahrensakten liegende medizinische Dokument äussert sich wie folgt zum Gesundheitszustand des Beschwerdeführers: Der 78-jährige Beschwerdeführer sei ein polymorbider und depressiver Pa- tient, der wegen seiner schweren Depression medikamentös antidepressiv behandelt werde. Die posttraumatische Belastungsstörung, Isolation und Sorgen um seine Familie führten zu einer Einschlafstörung, unter der er sehr leide. Durch Milieutherapie, Tagesstrukturierung und Beziehungsauf- bau werde eine Chronifizierung und Exazerbation des psychischen Lei- dens vermieden. Klinisch bestünden im Alltag keine Anzeichen für eine Demenz. Deshalb sei bis anhin auch auf eine neuropsychologische Abklärung verzichtet wor- den. Was die Bewältigung des Alltags eher erschwere, seien Symptome einer Persönlichkeits- und Verhaltensstörung. Der Beschwerdeführer habe wenig eigene Problemlösungsstrategien, sei unflexibel in seinen Gedan- kengängen, habe seine eigenen Vorstellungen und lasse sich von diesen oft nicht abbringen. Der Beschwerdeführer, der durch eine Coronavirus-Erkrankung im August 2022 zusätzlich geschwächt worden sei, sei wegen seiner kardiovaskulä- ren Krankheiten und der damit einhergehenden Notwendigkeit einer regel- mässigen Kontrolle der Herzinsuffizienz, der Blutdruckwerte, der Blutver- dünnung sowie die Blutwerte, seiner chronischen, medikamentös induzier- ten Obstipation und seiner hochgradigen Fixierung auf Medikamente auf eine engmaschige ärztliche und pflegerische Betreuung angewiesen. Eine grosse Ressource sei der Sohn des Beschwerdeführers. Der Be- schwerdeführer telefoniere regelmässig mit ihm, und der Sohn komme auch regelmässig auf Besuch in die Pflegewohngruppe. Bei der ärztlichen und pflegerischen Betreuung sei der Sohn als Übersetzer und Angehöriger sehr hilfreich. Auch sei die Zusammenarbeit mit dem Sohn sehr konstruktiv. Dank der oben genannten Massnahmen habe sich der Beschwerdeführer psychisch und physisch gut stabilisiert. Bei einem erneuten Ortswechsel wäre das Risiko für ein Relokations-Stress-Syndrom (Verlegungs-Stress- Syndrom) mit einer psychischen und physischen Verschlechterung sehr gross.</w:t>
      </w:r>
    </w:p>
    <w:p>
      <w:r>
        <w:t>F-4852/2021 Seite 17</w:t>
      </w:r>
    </w:p>
    <w:p>
      <w:r>
        <w:rPr>
          <w:b/>
        </w:rPr>
        <w:t>E. 8.1</w:t>
      </w:r>
    </w:p>
    <w:p>
      <w:r>
        <w:t>Die blosse Tatsache, dass dem Beschwerdeführer der temporäre Schutzstatus in Dänemark entzogen wurde, führt nicht zu einer Verpflich- tung der Schweiz, den Selbsteintritt zu erklären. Es steht dem Beschwer- deführer frei, nach einer allfälligen Überstellung nach Dänemark ein Folge- gesuch zu stellen, in welchem er seinen verschlechterten Gesundheitszu- stand (vgl. unten) geltend machen kann. Dass rechtskräftig abgewiesene Asylsuchende mit einer Abschiebung in ihr Herkunftsland rechnen müssen, ist nicht per se völkerrechtswidrig. Vielmehr ist davon auszugehen, dass in Dänemark ein rechtsstaatliches Verfahren durchgeführt wurde, in dem auch der (damalige) Gesundheitszustand des Betroffenen angemessen berücksichtigt wurde. Gleiches gilt für die Behandlung eines etwaigen Folgeantrags nach erfolgter Überstellung nach Dänemark. Diese Einschätzung wird unter anderem durch statistische Zahlen gestützt. Wie die Vorinstanz in ihrer Duplik vom 8. Juli 2022 gestützt auf eine Aus- kunft der dänischen Behörden vom 29. Juni 2022 (Beilage zu Rek-act. 19) ausführt, hat Dänemark seit dem Jahr 2011 rund 35'000 Personen aus Sy- rien aufgenommen. Als Folge der geänderten Beurteilung der Lage im Grossraum Damaskus hob die dänische Migrationsbehörde seit dem Jahr 2019 den Aufenthaltstitel von 332 Personen aus Syrien auf. Von diesen 332 erstinstanzlichen Entscheiden wurden nach erneuter Prüfung durch die Rechtsmittelinstanz im Asylrecht lediglich 123 Entscheide bestätigt, was bezogen auf die genannten 35’000 Personen einer Wegweisungs- quote von 0.35 % entspricht. Dieser Umstand spricht für eine sorgfältige und einzelfallspezifische Prüfung durch die dänischen Behörden. Keines- falls kann von pauschalen Wegweisungen in den Grossraum Damaskus gesprochen werden. Schliesslich ist in diesem Zusammenhang festzuhalten, dass auch nach Rechtsprechung des Bundesverwaltungsgerichts der Wegweisungsvollzug nach Syrien nicht grundsätzlich völkerrechtswidrig ist. Es kommt auf die Region und das persönliche Gefährdungsprofil der betroffenen Person an (Urteile des BVGer E-1876/2019 vom 08. März 2021 E. 8.2.4 in Bezug auf Aleppo; E-6772/2016 vom 31. August 2018 E. 8.4 in Bezug auf al-Qamishli; E-3152/2018 vom 22. Juni 2018 E. 10 in Bezug auf Kobane, D-1105/2017 vom 31. Mai 2017 E. 8 f. in Bezug auf Damaskus). Es kann daher nicht davon ausgegangen werden, dass eine Überstellung des Beschwerdeführers nach Dänemark zu einer Kettenabschiebung führte, die gegen das Non-Refoulement-Prinzip verstiesse, wie es in Art. 33</w:t>
      </w:r>
    </w:p>
    <w:p>
      <w:r>
        <w:t>F-4852/2021 Seite 18 FK verankert ist (und sich ausserdem aus Art. 4 der EU-Grundrechtecharta, Art. 3 EMRK oder Art. 3 FoK ableiten lässt).</w:t>
      </w:r>
    </w:p>
    <w:p>
      <w:r>
        <w:rPr>
          <w:b/>
        </w:rPr>
        <w:t>E. 8.2</w:t>
      </w:r>
    </w:p>
    <w:p>
      <w:r>
        <w:t>Es ist des Weiteren darauf hinzuweisen, dass die dänische Rechtsmit- telinstanz im Asylrecht in ihrer Entscheidung vom 29. September 2021 ex- plizit erklärte, die dänische Regierung habe aus aussenpolitischen Grün- den beschlossen, bis auf Weiteres keine zwangsweisen Abschiebungen nach Syrien durchzuführen. Dieser Beschluss ist nach wie vor gültig. Sollte ein Folgegesuch des Beschwerdeführers ohne Erfolg bleiben und er sich weigern, Dänemark freiwillig zu verlassen, drohte ihm daher vorerst nur die Unterbringung in einem der beiden von den dänischen Behörden betriebe- nen Ausreisezentren. Gemäss Abklärungen der Vorinstanz bei den dänischen Behörden sind diese Zentren mit schweizerischen Einrichtungen für ausreisepflichtige Personen durchaus vergleichbar. In mancher Hinsicht sind sie vorteilhafter. Es handelt sich um offene Zentren mit vergleichsweise grosszügigem Platzangebot, in denen die Bewegungsfreiheit nicht durch Öffnungszeiten oder behördliche Eingrenzungen auf ein bestimmtes Gebiet beschränkt ist, wie es in der Schweiz der Fall sein kann. Die medizinische Grund- und Notversorgung ist in beiden Zentren gewährleistet (vgl. dazu Duplik der Vorinstanz vom 6. September 2022 und die ihr beigelegte Auskunft der dä- nischen Behörden vom 15. Juni 2022). Einer weiteren Auskunft der däni- schen Behörden vom 1. Juni 2023 zu pflegebedürftigen Personen ist zu entnehmen, dass beim Entscheid über die Unterbringung in einem Ausrei- sezentrum die persönlichen Umstände der betroffenen Person, ein- schliesslich ihrer besonderen Bedürfnisse, berücksichtigt würden. So gebe es eine Einrichtung ausschliesslich für Menschen, die schwer krank seien oder aus anderen Gründen besondere Betreuung benötigten. In der Praxis seien es die Betreiber der Aufnahme-, Unterbringungs- und Ausreisezen- tren, die beurteilten, ob eine Person im Unterbringungssystem soziale Mas- snahmen wie persönliche und praktische Hilfe, Betreuung oder Bildungs- arbeit benötige (Quadruplik der Vorinstanz vom 5. Juni 2023 und die ihr beigelegte Auskunft der dänischen Behörden vom 1. Juni 2023).</w:t>
      </w:r>
    </w:p>
    <w:p>
      <w:r>
        <w:rPr>
          <w:b/>
        </w:rPr>
        <w:t>E. 8.3</w:t>
      </w:r>
    </w:p>
    <w:p>
      <w:r>
        <w:t>Es stellt sich die Frage, inwieweit die Überstellung des Beschwerde- führers nach Dänemark angesichts seines Gesundheitszustands und der dortigen Aufnahmebedingungen eine Verletzung von Art. 3 EMRK zu Folge hätte. Eine solche Verletzung ist jedoch nur ausnahmsweise anzunehmen. Rechtsprechungsgemäss ist das etwa dann der Fall, wenn sich die asylsu- chende Person in einem fortgeschrittenen oder terminalen Krankheitssta- dium und bereits in Todesnähe befindet, nach einer Überstellung mit dem</w:t>
      </w:r>
    </w:p>
    <w:p>
      <w:r>
        <w:t>F-4852/2021 Seite 19 sicheren Tod rechnen müsste und dabei keinerlei soziale Unterstützung er- warten könnte (vgl. BVGE 2011/9 E. 7 m.H.a. die damalige Praxis des Eu- ropäischen Gerichtshofs für Menschenrechte [EGMR]). Eine weitere vom EGMR definierte Konstellation betrifft schwerkranke Personen, die durch die Abschiebung – mangels angemessener medizinischer Behandlung im Zielstaat – mit einem realen Risiko konfrontiert würden, einer ernsten, ra- schen und unwiederbringlichen Verschlechterung ihres Gesundheitszu- standes ausgesetzt zu werden, die zu intensivem Leiden oder einer erheb- lichen Verkürzung der Lebenserwartung führen würde (vgl. Urteil des EGMR Paposhvili gegen Belgien vom 13. Dezember 2016, Grosse Kam- mer, 41738/10, Ziff. 180–193 m.w.H.).</w:t>
      </w:r>
    </w:p>
    <w:p>
      <w:r>
        <w:rPr>
          <w:b/>
        </w:rPr>
        <w:t>E. 8.4</w:t>
      </w:r>
    </w:p>
    <w:p>
      <w:r>
        <w:t>Der Gesundheitszustand des bald 79-jährigen, polymorbiden Be- schwerdeführers ist zwar ohne Zweifel prekär. Allerdings verfügt Däne- mark, wo sich der Beschwerdeführer wegen seiner Leiden bereits in medi- zinischer Behandlung befand, über eine mit der Schweiz gleichwertige Ge- sundheitsversorgung. Zudem besteht für das Bundesverwaltungsgericht kein Anlass, an der Auskunft der dänischen Behörden zu zweifeln, dass ausreisepflichtige Personen in Dänemark Zugang zur notwendigen medi- zinischen Versorgung haben und – im Falle besonderer Bedürfnisse – die Möglichkeit einer geeigneten Unterbringung besteht. Die Vorinstanz würde die dänischen Behörden, wie von ihr in der Quadruplik vom 5. Juni 2023 zugesichert, vor einer allfälligen Überstellung des Beschwerdeführers im Sinne von Art. 31 und Art. 32 Dublin-III-VO vollumfänglich über seinen ak- tuellen Gesundheitszustand und Pflegebedarf informieren. Unter den ge- gebenen Umständen ist nicht davon auszugehen, dass die mit einer Über- stellung des Beschwerdeführers nach Dänemark einhergehenden Beein- trächtigungen seiner Gesundheit ein Mass an Erheblichkeit erreichen könnten, aufgrund derer sie als Verletzung des Art. 3 EMRK gewertet wer- den müssten. Das gilt namentlich auch in Berücksichtigung des «Relokati- ons-Stress-Syndroms», das der ärztliche Bericht des Geriatrischen Diens- tes der Stadt Zürich vom 6. Juli 2023 thematisiert. Eine völkerrechtliche Verpflichtung der Schweiz von ihrem Selbsteintrittsrecht Gebrauch zu ma- chen, besteht nach dem Gesagten nicht.</w:t>
      </w:r>
    </w:p>
    <w:p>
      <w:r>
        <w:rPr>
          <w:b/>
        </w:rPr>
        <w:t>E. 8.5</w:t>
      </w:r>
    </w:p>
    <w:p>
      <w:r>
        <w:t>Anders ist die Überstellung unter dem Gesichtspunkt eines ermessen- gelenkten Selbsteintritts zu bewerten. Das fortgeschrittene Alter des betag- ten Beschwerdeführers, sein während seines Aufenthalts in der Schweiz sich verschlechterter psychischer und physischer Allgemeinzustand, seine Pflegebedürftigkeit, die Tatsache, dass er mit seinem in der Schweiz leben- den Sohn über eine wichtige, vertraute Bezugsperson verfügt, während er in Dänemark wohl nicht auf Unterstützung durch seine nächsten</w:t>
      </w:r>
    </w:p>
    <w:p>
      <w:r>
        <w:t>F-4852/2021 Seite 20 Familienangehörigen zählen könnte, ferner die in der Schweiz erreichte Stabilisierung seines fragilen gesundheitlichen Zustands sowie die mit ei- nem Umgebungswechsel verbundenen gesundheitlichen Risiken führen das Bundesverwaltungsgericht zum Schluss, dass in diesem in jeder Hin- sicht besonderen Einzelfall humanitäre Gründe für einen Selbsteintritt sprechen, die das beträchtliche öffentliche Interesse an einer konsequen- ten Umsetzung der in der Dublin-III-VO niedergelegten Zuständigkeitskri- terien ausnahmsweise zu überwiegen vermögen. Die Ausübung des der Schweiz durch Art. 17 Abs. 1 Dublin III-VO eingeräumten Ermessens ist daher im vorliegenden Fall unter Verletzung des Verhältnismässigkeits- grundsatzes und damit rechtsfehlerhaft erfolgt. Eine rechtsfehlerfreie Er- messensausübung gebietet es, den Selbsteintritt zu erklären und die Zu- ständigkeit zur Durchführung des Asyl- und allenfalls eines Wegweisungs- verfahrens zu übernehmen.</w:t>
      </w:r>
    </w:p>
    <w:p>
      <w:r>
        <w:rPr>
          <w:b/>
        </w:rPr>
        <w:t>E. 9</w:t>
      </w:r>
    </w:p>
    <w:p>
      <w:r>
        <w:t>Aus den vorstehenden Erwägungen ergibt sich, dass die Beschwerde gut- zuheissen, die angefochtene Verfügung aufzuheben und die Vorinstanz anzuweisen ist, auf das Asylgesuch des Beschwerdeführers einzutreten und es materiell zu behandeln.</w:t>
      </w:r>
    </w:p>
    <w:p>
      <w:r>
        <w:rPr>
          <w:b/>
        </w:rPr>
        <w:t>E. 10.1</w:t>
      </w:r>
    </w:p>
    <w:p>
      <w:r>
        <w:t>Bei diesem Ausgang des Verfahrens sind keine Verfahrenskosten zu erheben (Art. 63 Abs. 1 und 2 VwVG). Damit wird das Gesuch um Gewäh- rung der unentgeltlichen Prozessführung gegenstandslos.</w:t>
      </w:r>
    </w:p>
    <w:p>
      <w:r>
        <w:rPr>
          <w:b/>
        </w:rPr>
        <w:t>E. 10.2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war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erwuchsen, weshalb keine Parteientschädigung zuzusprechen ist (vgl. BVGE 2017 VI/3 E. 9.2.4 f.).</w:t>
      </w:r>
    </w:p>
    <w:p>
      <w:r>
        <w:t>F-4852/2021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