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F-4851/2021 vom 9. November 2021</w:t>
      </w:r>
    </w:p>
    <w:p>
      <w:r>
        <w:t>Bundesverwaltungsgericht, 2021-11-09, DE</w:t>
      </w:r>
    </w:p>
    <w:p>
      <w:r>
        <w:rPr>
          <w:b/>
        </w:rPr>
        <w:t xml:space="preserve">Quelle: </w:t>
      </w:r>
      <w:r>
        <w:t>https://mcp.opencaselaw.ch/entscheid/bvger_F-4851_2021</w:t>
      </w:r>
    </w:p>
    <w:p>
      <w:r>
        <w:t>FR: TAF F-4851/2021 du 9 novembre 2021</w:t>
      </w:r>
    </w:p>
    <w:p>
      <w:r>
        <w:t>IT: TAF F-4851/2021 del 9 novembre 2021</w:t>
      </w:r>
    </w:p>
    <w:p>
      <w:pPr>
        <w:pStyle w:val="Heading2"/>
      </w:pPr>
      <w:r>
        <w:t>Regeste</w:t>
      </w:r>
    </w:p>
    <w:p>
      <w:r>
        <w:t>Nichteintreten auf Asylgesuch und Wegweisung (Dublin-Verfahren)</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 unter Vorbehalt der nachstehenden Erwägungen -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Bei Beschwerden gegen Nichteintretensentscheide, mit denen es das SEM ablehnt, das Asylgesuch auf seine Begründetheit hin zu überprüfen (Art. 31a Abs. 1, 3 AsylG), ist die Beurteilungskompetenz der Beschwerdeinstanz grundsätzlich auf die Frage beschränkt, ob die Vorinstanz zu Recht auf das Asylgesuch nicht eingetreten ist (vgl. BVGE 2012/4 E. 2.2 m.w.H.).</w:t>
      </w:r>
    </w:p>
    <w:p>
      <w:r>
        <w:rPr>
          <w:b/>
        </w:rPr>
        <w:t>E. 3.2</w:t>
      </w:r>
    </w:p>
    <w:p>
      <w:r>
        <w:t>Die Begehren auf Anerkennung der Flüchtlingseigenschaft, Gewährung von Asyl bzw. Anordnung der vorläufigen Aufnahme gehen über den zulässigen Streitgegenstand hinaus. Auf die diesbezüglichen Ausführungen in der Rechtsmitteleingabe ist daher nicht weiter einzugehen und insoweit auf die Beschwerde nicht einzutreten</w:t>
      </w:r>
    </w:p>
    <w:p>
      <w:r>
        <w:rPr>
          <w:b/>
        </w:rPr>
        <w:t>E. 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5.4</w:t>
      </w:r>
    </w:p>
    <w:p>
      <w:r>
        <w:t>Erweist es sich als unmöglich, eine antragstellende Person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Charta der Grundrechte der Europäischen Union (2012/C 326/02, nachfolgend: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5.6</w:t>
      </w:r>
    </w:p>
    <w:p>
      <w:r>
        <w:t>Nach einer anfänglichen Ablehnung des Wiederaufnahmegesuchs der Vorinstanz vom 12. Oktober 2021 stimmten die slowenischen Behörden diesem am 26. Oktober 2021 im Rahmen eines Remonstrationsverfahrens zu. Das Vorgehen des SEM, binnen drei Wochen nach Erhalt einer ablehnenden Antwort des ersuchten Staates eine neuerliche Prüfung eines Übernahmeersuchens zu verlangen, ist in Art. 5 DVO vorgesehen. Die Zuständigkeit Sloweniens ist gestützt auf Art. 18 Abs. 1 Bst. b Dublin-III-VO somit grundsätzlich gegeben.</w:t>
      </w:r>
    </w:p>
    <w:p>
      <w:r>
        <w:rPr>
          <w:b/>
        </w:rPr>
        <w:t>E. 6.1</w:t>
      </w:r>
    </w:p>
    <w:p>
      <w:r>
        <w:t>Das Asylverfahren und die Aufnahmebedingungen in Slowenien weisen nach konstanter Rechtsprechung des Bundesverwaltungsgerichts keine systemischen Schwachstellen im Sinne von Art. 3 Abs. 2 zweiter Satz Dublin-III-VO auf (vgl. Urteile des BVGer D-715/2021 vom 19. Februar 2021, F-4659/2020 vom 24. September 2020 E. 4.1 und F-3660/2020 vom 22. Juli 2020 E. 4.1).</w:t>
      </w:r>
    </w:p>
    <w:p>
      <w:r>
        <w:rPr>
          <w:b/>
        </w:rPr>
        <w:t>E. 6.2</w:t>
      </w:r>
    </w:p>
    <w:p>
      <w:r>
        <w:t>Für eine Änderung der dargestellten Rechtsprechung besteht auch in Würdigung der pauschal gehaltenen Vorbringen des Beschwerdeführers, dass ein Zugang zum Asylsystem und einer Asylunterkunft in Slowenien vor allem für Rücküberstellte schwierig sei, kein Anlass. 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ist somit anzunehmen,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Der Beschwerdeführer vermag nicht darzutun, dass die ihn bei einer Rückführung erwartenden Bedingungen in Slowenien derart schlecht sind, dass sie zu einer Verletzung von Art. 4 der EU-Grundrechtecharta bzw. Art. 3 EMRK führen könnten. Bei einer allfälligen vorübergehenden Einschränkung der ihm zustehenden Aufnahmebedingungen könnte er sich nötigenfalls an die slowenischen Behörden wenden und seine Rechte auf dem Rechtsweg einfordern (vgl. Art. 26 Aufnahmerichtlinie).</w:t>
      </w:r>
    </w:p>
    <w:p>
      <w:r>
        <w:rPr>
          <w:b/>
        </w:rPr>
        <w:t>E. 6.3</w:t>
      </w:r>
    </w:p>
    <w:p>
      <w:r>
        <w:t>Folglich ist die Anwendung von Art. 3 Abs. 2 Dublin-III-VO nicht gerechtfertigt.</w:t>
      </w:r>
    </w:p>
    <w:p>
      <w:r>
        <w:rPr>
          <w:b/>
        </w:rPr>
        <w:t>E. 7.1</w:t>
      </w:r>
    </w:p>
    <w:p>
      <w:r>
        <w:t>Der Beschwerdeführer bringt vor, sein gesundheitlicher Zustand habe sich zunehmend verschlechtert und der Zugang zu medizinischer Behandlung sei in Slowenien nicht gewährleistet. Er fordert damit sinngemäss die Ausübung des Selbsteintrittsrechts nach Art. 17 Abs. 1 erster Satz Dublin-III-VO, konkretisiert in Art. 29a Abs. 3 AsylV 1.</w:t>
      </w:r>
    </w:p>
    <w:p>
      <w:r>
        <w:rPr>
          <w:b/>
        </w:rPr>
        <w:t>E. 7.2</w:t>
      </w:r>
    </w:p>
    <w:p>
      <w:r>
        <w:t>Aus den Akten ergibt sich, dass dem Beschwerdeführer am 19. Oktober 2021 ein kariöser Zahn und am 28. Oktober 2021 die hierfür gesetzte Naht entfernt werden mussten. Am 21. Oktober 2021 hatte er sich zudem infolge von Magenbrennen bei der Pflege im BAZ (...) gemeldet. Das Pflegepersonal stufte dies als eine Reaktion auf die Behandlung mit entzündungshemmenden Mitteln ein. Es führte am 27. Oktober 2021 gegenüber der Vorinstanz aus, der Beschwerdeführer habe deswegen während vier Tagen das Medikament Pantoprazol erhalten. Danach habe er sich nicht mehr gemeldet.</w:t>
      </w:r>
    </w:p>
    <w:p>
      <w:r>
        <w:rPr>
          <w:b/>
        </w:rPr>
        <w:t>E. 7.3</w:t>
      </w:r>
    </w:p>
    <w:p>
      <w:r>
        <w:t>Diese gesundheitlichen Probleme stellen kein völkerrechtliches Vollzugshindernis im Sinne von Art. 3 EMRK dar, welches zwingend zu einem Selbsteintritt führen müsste. Slowenien verfügt über eine ausreichende medizinische Infrastruktur und ist gemäss Art. 19 Abs. 1 Aufnahmerichtlinie verpflichtet, den Antragstellern die erforderliche medizinische Versorgung, die zumindest die Notversorgung und die unbedingt erforderliche Behandlung von Krankheiten und schweren psychischen Störungen umfasst, zugänglich zu machen. Es liegen keine Anhaltspunkte vor, wonach dem Beschwerdeführer dort eine adäquate Behandlung seiner gesundheitlichen Beeinträchtigungen verweigert würde. Die Überstellung des Beschwerdeführers nach Slowenien erweist sich als zulässig. Die schweizerischen Behörden, die mit dem Vollzug der angefochtenen Verfügung beauftragt sind, werden den medizinischen Umständen bei der Bestimmung der konkreten Modalitäten der Überstellung des Beschwerdeführers Rechnung tragen und die slowenischen Behörden vorgängig in geeigneter Weise über die spezifischen medizinischen Umstände informieren (vgl. Art. 31 f. Dublin-III-VO).</w:t>
      </w:r>
    </w:p>
    <w:p>
      <w:r>
        <w:rPr>
          <w:b/>
        </w:rPr>
        <w:t>E. 7.4</w:t>
      </w:r>
    </w:p>
    <w:p>
      <w:r>
        <w:t>Zusammenfassend liegt kein Grund vor für die Anwendung der Ermessensklausel von Art. 17 Dublin-III-VO beziehungsweise Art. 29a Abs. 3 AsylV 1. Weder ist die Schweiz völkerrechtlich verpflichtet, auf das Asylgesuch einzutreten, noch liegen humanitäre Gründe vor, welche einen Selbsteintritt nahelegen würden. Die Vorinstanz ist daher zu Recht gestützt auf Art. 31a Abs. 1 Bst. b AsylG auf das Asylgesuch des Beschwerdeführers nicht eingetreten. Da er nicht im Besitz einer gültigen Aufenthalts- oder Niederlassungsbewilligung ist, wurde die Überstellung nach Slowenien in Anwendung von Art. 44 AsylG ebenfalls zu Recht angeordnet (Art. 32 Bst. a AsylV 1).</w:t>
      </w:r>
    </w:p>
    <w:p>
      <w:r>
        <w:rPr>
          <w:b/>
        </w:rPr>
        <w:t>E. 8</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9</w:t>
      </w:r>
    </w:p>
    <w:p>
      <w:r>
        <w:t>Nach dem Ausgeführten ist die Beschwerde abzuweisen, soweit darauf einzutreten ist. Mit dem vorliegenden Urteil fällt der am 4. November 2021 angeordnete Vollzugsstopp dahin und die Anträge auf Gewährung der aufschiebenden Wirkung sowie auf Verzicht auf die Erhebung eines Kostenvorschusses werden gegenstandslos.</w:t>
      </w:r>
    </w:p>
    <w:p>
      <w:r>
        <w:rPr>
          <w:b/>
        </w:rPr>
        <w:t>E. 10.1</w:t>
      </w:r>
    </w:p>
    <w:p>
      <w:r>
        <w:t>Die Begehren erweisen sich als aussichtslos, weshalb das Gesuch um Gewährung der unentgeltlichen Rechtspflege ungeachtet einer allfälligen prozessualen Bedürftigkeit abzuweisen ist (Art. 65 Abs. 1 und 2 VwVG).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