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F-4842/2023 vom 9. April 2024</w:t>
      </w:r>
    </w:p>
    <w:p>
      <w:r>
        <w:t>Bundesverwaltungsgericht, 2024-04-09, DE</w:t>
      </w:r>
    </w:p>
    <w:p>
      <w:r>
        <w:rPr>
          <w:b/>
        </w:rPr>
        <w:t xml:space="preserve">Quelle: </w:t>
      </w:r>
      <w:r>
        <w:t>https://mcp.opencaselaw.ch/entscheid/bvger_F-4842_2023</w:t>
      </w:r>
    </w:p>
    <w:p>
      <w:r>
        <w:t>FR: TAF F-4842/2023 du 9 avril 2024</w:t>
      </w:r>
    </w:p>
    <w:p>
      <w:r>
        <w:t>IT: TAF F-4842/2023 del 9 aprile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als Gastgeber und Bruder der Gesuchstellerin durch die angefochtene Verfügung besonders berührt. Er ist zur Erhebung des Rechtsmittels legitimiert, zumal die Gesuchstellerin nach wie vor einen Be- such in der Schweiz anstrebt (Art. 48 Abs. 1 VwVG). Auf die frist- und</w:t>
      </w:r>
    </w:p>
    <w:p>
      <w:r>
        <w:t>F-4842/2023 Seite 3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Der angefochtenen Verfügung liegt ein Gesuch einer sri-lankischen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F-4842/2023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w:t>
      </w:r>
    </w:p>
    <w:p>
      <w:r>
        <w:t>F-4842/2023 Seite 5 Ablauf der Gültigkeit des beantragten Visums zu verlassen (Art. 32 Abs. 1 Bst. b VK).</w:t>
      </w:r>
    </w:p>
    <w:p>
      <w:r>
        <w:rPr>
          <w:b/>
        </w:rPr>
        <w:t>E. 4</w:t>
      </w:r>
    </w:p>
    <w:p>
      <w:r>
        <w:t>Strittig ist, ob die sri-lankische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laut dem Eidgenössischen Departement für auswärtige Angelegen- heiten (EDA) die Gefahr von gewaltsamen Ausschreitungen, Streiks und Versorgungsengpässen (vgl. https://www.eda.admin.ch/eda/de/home/ver- tretungen-und-reisehinweise/sri-lanka/reisehinweise-fuers- rilanka.html#eda57892d, abgerufen am 22.02.2024). Zutreffend führt die Vorinstanz daher an, die Gesuchstellerin stamme aus einem Land, aus welchem der Zuwanderungsdruck – primär infolge wirtschaftlicher Not – nach wie vor stark anhalte (vgl. dazu Urteile des BVGer F-3242/2023 vom 16. Februar 2024 E. 4.2; F-5515/2022 vom 3. Januar 2024 E. 6.2; je m.w.H.). Somit ist nicht zu beanstanden, dass die Vorinstanz das Risiko einer nicht fristgerechten Ausreise als allgemein hoch einschätzt. An dieser Einschätzung vermag der auf Beschwerdeebene eingereichte Zeitungsar- tikel nichts zu ändern, zumal der Beschwerdeführer selbst eingesteht, die wirtschaftlichen Verhältnisse in Sri Lanka seien «nicht rosig».</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w:t>
      </w:r>
    </w:p>
    <w:p>
      <w:r>
        <w:t>F-4842/2023 Seite 6 ligten Einreise als vergleichsweise hoch eingeschätzt werden (vgl. BVGE 2019 VII/1 E. 7.2; 2014/1 E. 6.3.1; 2009/27 E. 8).</w:t>
      </w:r>
    </w:p>
    <w:p>
      <w:r>
        <w:rPr>
          <w:b/>
        </w:rPr>
        <w:t>E. 4.4</w:t>
      </w:r>
    </w:p>
    <w:p>
      <w:r>
        <w:t>Die 55-jährige Gesuchstellerin ist verheiratet und wohnt mit ihrem Ehe- mann sowie einer erwachsenen Tochter zusammen. Drei weitere erwach- sene Kinder leben in Sri Lanka. Der Verbleib ihres Ehemanns im Heimat- land lässt auf eine gewisse familiäre Verantwortung der Gesuchstellerin in Sri Lanka schliessen. Eine derartige Verantwortung kann zwar eine mögli- che, indes keine hinreichende Gewähr für eine anstandslose Wiederaus- reise bieten (vgl. BVGE 2014/1 E. 6.3.1; 2009/27 E. 8). Die Erfahrung hat gezeigt, dass zurückbleibende nahe Angehörige gerade in Situationen an- gespannter wirtschaftlicher und/oder politischer Verhältnisse gesuchstel- lende Personen regelmässig nicht verlässlich davon abhalten, den Ent- schluss für eine Emigration zu fällen, sei dies etwa in der Hoffnung, die Zurückgebliebenen aus dem Ausland effizienter zu unterstützen oder spä- ter allenfalls gar nachziehen zu können (vgl. statt vieler: Urteil des BVGer F-4659/2023 vom 19. Januar 2024 E. 7.5.1). Dafür spricht, dass die Ge- suchstellerin gemäss Abklärungen des EDA in einem Land mit besonders hohem Migrationsdruck lebt (siehe E. 4.2 hiervor). Insofern bietet die fami- liäre Situation der Gesuchstellerin keine besondere Gewähr für eine frist- gerechte Ausreise. Zu berücksichtigen ist ferner, dass die Gesuchstellerin in der Schweiz durch ihren hier lebenden Bruder, dessen Familie und eine Tante über ein vorbestehendes familiäres Beziehungsnetz verfügt, was das Emigrationsrisiko viel eher erhöht.</w:t>
      </w:r>
    </w:p>
    <w:p>
      <w:r>
        <w:rPr>
          <w:b/>
        </w:rPr>
        <w:t>E. 4.5</w:t>
      </w:r>
    </w:p>
    <w:p>
      <w:r>
        <w:t>In Bezug auf die finanziellen Verhältnisse ist aktenkundig, dass die Ge- suchstellerin und deren Familie in einem im Eigentum des Beschwerdefüh- rers befindlichen Haus leben. Gemäss ihren eigenen Angaben ist sie Haus- frau und geht keiner bezahlten Erwerbstätigkeit nach. Die Höhe des Ein- kommens des Ehemanns ist aus den Akten nicht ersichtlich. Einem erst auf Beschwerdeebene eingereichten Bankkontoauszug ist zu entnehmen, dass der Beschwerdeführer der Halbschwester der Gesuchstellerin zwi- schen Januar 2022 und August 2023 Beträge in der Höhe von insgesamt 70'603 Schweizer Franken überwiesen hatte. Mit diesem Geld unterstützt er gemäss eigenen Angaben auch die Gesuchstellerin und deren Familie. Entgegen den Ausführungen auf Beschwerdeebene kann vor diesem Hin- tergrund gerade nicht von stabilen wirtschaftlichen Verhältnissen ausge- gangen werden, welche die Gesuchstellerin von einer Emigration abzuhal- ten vermöchten. Soweit der Beschwerdeführer vorbringt, die allgemeine Lage in Sri Lanka – und im Speziellen in Colombo – dürfe nicht zur An- nahme führen, dass sri-lankische Staatsangehörige nicht fristgerecht aus</w:t>
      </w:r>
    </w:p>
    <w:p>
      <w:r>
        <w:t>F-4842/2023 Seite 7 dem Schengen-Raum ausreisen würden, ist auf die Ausführungen zur schlechten Sicherheits- und Wirtschaftslage in Sri Lanka zu verweisen (siehe E. 4.2 hiervor). Ein gewisser Schematismus kann in diesem Zusam- menhang zwar nicht in Abrede gestellt werden. Visumsverweigerungen er- folgen aber nicht pauschal aufgrund der Staatszugehörigkeit, sondern un- ter Vornahme einer Einzelfallprüfung. Die Vorinstanz nahm im Rahmen ei- ner Gesamtwürdigung umfassend auf die persönlichen Lebensumstände der Gesuchstellerin Bezug. Dass dabei Gesuchstellenden in ähnlichen Le- benssituationen – unter Berücksichtigung der Besonderheiten des Einzel- falls – grundsätzlich ein gleicher Entscheid zukommt, spricht denn auch für eine rechtsgleiche Anwendung der Voraussetzungen bei der Prüfung einer Visumerteilung. Schliesslich kann der Beschwerdeführer aus dem Um- stand, wonach ihn zwei Gäste in den Jahren 2014 und 2016 besucht hätten und diese fristgerecht aus dem Schengen-Raum wieder ausgereist seien, nichts zu seinen Gunsten in der gegebenen Angelegenheit ableiten, da je- der Einzelfall individuell zu beurteilen ist.</w:t>
      </w:r>
    </w:p>
    <w:p>
      <w:r>
        <w:rPr>
          <w:b/>
        </w:rPr>
        <w:t>E. 5</w:t>
      </w:r>
    </w:p>
    <w:p>
      <w:r>
        <w:t>Die Vorinstanz ging vor diesem Hintergrund zu Recht davon aus, die frist- gerechte Wiederausreise der Gesuchstellerin sei nicht hinreichend gesi- chert. An dieser Einschätzung vermag auch die vom Beschwerdeführer un- terzeichnete Verpflichtungserklärung und seine generelle Bereitschaft, eine Garantiesumme zu hinterlegen, nichts zu ändern. Der Beschwerde- führer kann zwar als Gastgeber mit rechtlich verbindlicher Wirkung für ge- wisse finanzielle Risiken im Zusammenhang mit dem Besuchsaufenthalt, nicht aber für ein bestimmtes Verhalten der eingeladenen Person einste- hen (vgl. BVGE 2014/1 E. 6.3.7 und BVGE 2009/27 E. 9). Gründe huma- nitärer oder anderer Art, welche die Erteilung eines Visums mit räumlich beschränkter Gültigkeit rechtfertigen würden, wurden von ihm nicht geltend gemacht und sind auch nicht ersichtlich. Die Vorinstanz hat das nachge- suchte Visum für den Schengen-Raum folglich zu Recht verweigert.</w:t>
      </w:r>
    </w:p>
    <w:p>
      <w:r>
        <w:rPr>
          <w:b/>
        </w:rPr>
        <w:t>E. 6.1</w:t>
      </w:r>
    </w:p>
    <w:p>
      <w:r>
        <w:t>Schliesslich beantragt der Beschwerdeführer eine angemessene Par- teientschädigung für das vorinstanzliche Verfahren.</w:t>
      </w:r>
    </w:p>
    <w:p>
      <w:r>
        <w:rPr>
          <w:b/>
        </w:rPr>
        <w:t>E. 6.2</w:t>
      </w:r>
    </w:p>
    <w:p>
      <w:r>
        <w:t>Gemäss bundesgerichtlicher Rechtsprechung handelt es sich bei der Pflicht zur Entrichtung einer Parteientschädigung nicht um einen allgemei- nen prozessualen Grundsatz; sie bedarf einer ausdrücklichen gesetzlichen Grundlage. Der Gesetzgeber hat beim Erlass des Verwaltungsverfahrens- gesetzes bewusst darauf verzichtet, die Möglichkeit der Zusprechung einer</w:t>
      </w:r>
    </w:p>
    <w:p>
      <w:r>
        <w:t>F-4842/2023 Seite 8 Parteientschädigung für das erstinstanzliche Verwaltungsverfahren vorzu- sehen (BGE 140 V 116 E. 3.4.2; 132 II 47 E. 5.2; je m.w.H.; siehe ferner LUKAS MÜLLER, in: Praxiskommentar Verwaltungsverfahrensgesetz, Wald- mann/Krauskopf [Hrsg.], 3. Aufl. 2023, N. 1 zu Art. 64 VwVG). Weder das AIG noch das VwVG enthalten eine Grundlage für die Zusprechung einer Parteientschädigung im erstinstanzlichen Verwaltungsverfahren. Art. 64 VwVG bezieht sich nur auf das Beschwerdeverfahren. Da der Beschwer- deführer unterlegen ist, fällt eine Parteientschädigung für das vorinstanzli- che Verfahren ohnehin ausser Betracht, weshalb der entsprechende An- trag abzuweisen ist.</w:t>
      </w:r>
    </w:p>
    <w:p>
      <w:r>
        <w:rPr>
          <w:b/>
        </w:rPr>
        <w:t>E. 7</w:t>
      </w:r>
    </w:p>
    <w:p>
      <w:r>
        <w:t>Im Ergebnis erweist sich die angefochtene Verfügung als rechtmässig (Art. 49 VwVG). Die Beschwerde ist abzuweisen.</w:t>
      </w:r>
    </w:p>
    <w:p>
      <w:r>
        <w:rPr>
          <w:b/>
        </w:rPr>
        <w:t>E. 8</w:t>
      </w:r>
    </w:p>
    <w:p>
      <w:r>
        <w:t>Entsprechend dem Verfahrensausgang sind die Kosten dem unterliegen- 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 genheit endgültig (Art. 83 Bst. c Ziff. 1 BGG).</w:t>
      </w:r>
    </w:p>
    <w:p>
      <w:r>
        <w:t>(Dispositiv: nachfolgende Seite)</w:t>
      </w:r>
    </w:p>
    <w:p>
      <w:r>
        <w:t>F-4842/2023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