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F-4840/2017 vom 8. September 2017</w:t>
      </w:r>
    </w:p>
    <w:p>
      <w:r>
        <w:t>Bundesverwaltungsgericht, 2017-09-08, FR</w:t>
      </w:r>
    </w:p>
    <w:p>
      <w:r>
        <w:rPr>
          <w:b/>
        </w:rPr>
        <w:t xml:space="preserve">Quelle: </w:t>
      </w:r>
      <w:r>
        <w:t>https://mcp.opencaselaw.ch/entscheid/bvger_F-4840_2017</w:t>
      </w:r>
    </w:p>
    <w:p>
      <w:r>
        <w:t>FR: TAF F-4840/2017 du 8 septembre 2017</w:t>
      </w:r>
    </w:p>
    <w:p>
      <w:r>
        <w:t>IT: TAF F-4840/2017 del 8 settembre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A._______ a qualité pour recourir (cf. art. 48 PA). Présenté dans la forme et le délai prescrits par la loi, le recours est recevable (cf. art. 52 al. 1 PA, applicables par renvoi de l'art. 37 LTAF et art. 108 al. 2 LAsi).</w:t>
      </w:r>
    </w:p>
    <w:p>
      <w:r>
        <w:rPr>
          <w:b/>
        </w:rPr>
        <w:t>E. 1.3</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Aux termes de l'art. 3 par. 1 du règlement Dublin III, une demande de protection internationale est examinée par un seul Etat membre, celui-ci étant déterminé selon les critères fixés à son chapitre III.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En particulier, lorsqu'il est établi que le demandeur est titulaire d'un visa périmé depuis moins de six mois lui ayant effectivement permis d'entrer sur le territoire d'un Etat membre, l'Etat membre qui l'a délivré est responsable de l'examen de la demande de protection internationale, sauf si ce visa a été délivré au nom d'un autre Etat membre en vertu d'un accord de représentation prévu à l'article 8 du règlement (CE) n° 810/2009 du Parlement européen et du Conseil du 13 juillet 2009 établissant un code communautaire de visas (cf. art. 12 par. 4 du règlement Dublin III, en relation avec le par. 2 de ce même article).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Par ailleurs,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w:t>
      </w:r>
    </w:p>
    <w:p>
      <w:r>
        <w:rPr>
          <w:b/>
        </w:rPr>
        <w:t>E. 3</w:t>
      </w:r>
    </w:p>
    <w:p>
      <w:r>
        <w:t>En l'espèce, les investigations entreprises par le SEM à travers la consultation du système central européen d'information sur les visas (CS-VIS) et les déclarations du recourant ont révélé que ce dernier avait obtenu un visa émis par l'Ambassade d'Allemagne à B._______ et valable du (...) au (...) 2017. En date du (...) 2017, le SEM a dès lors soumis aux autorités allemandes compétentes, dans le délai fixé à l'art. 21 par. 1 du règlement Dublin III, une requête aux fins de prise en charge de A._______, fondée sur l'art. 12 par. 4 dudit règlement. Le (...) suivant, lesdites autorités ont expressément accepté de prendre en charge l'intéressé, sur la base de la même disposition. Il y a donc lieu de conclure que l'Allemagne est compétente pour traiter la demande d'asile du recourant. Il est à cet égard précisé, qu'ainsi que l'a à juste titre retenu le SEM dans la décision attaquée, le fait que A._______ ne maîtrise pas la langue du pays concerné et qu'il n'y ait séjourné que pendant trois jours, ne saurait influencer la détermination de l'Etat compétent pour le traitement de sa demande d'asile. Il est au surplus rappelé que le règlement Dublin III ne confère pas aux demandeurs d'asile le droit de choisir l'Etat membre offrant, à leur avis, les meilleures conditions d'accueil comme Etat responsable de l'examen de leur demande d'asile (cf. ATAF 2010/45 consid. 8.3).</w:t>
      </w:r>
    </w:p>
    <w:p>
      <w:r>
        <w:rPr>
          <w:b/>
        </w:rPr>
        <w:t>E. 4</w:t>
      </w:r>
    </w:p>
    <w:p>
      <w:r>
        <w:t>Dans son recours du (...) 2017, A._______ s'est opposé à son transfert vers l'Allemagne faisant valoir, outre le fait qu'il n'avait séjourné que pendant trois jours dans ce pays et qu'il n'en parlait pas la langue, qu'il y existait une importante méfiance à l'égard des migrants.</w:t>
      </w:r>
    </w:p>
    <w:p>
      <w:r>
        <w:rPr>
          <w:b/>
        </w:rPr>
        <w:t>E. 5</w:t>
      </w:r>
    </w:p>
    <w:p>
      <w:r>
        <w:t>Le Tribunal de céans prend position comme suit.</w:t>
      </w:r>
    </w:p>
    <w:p>
      <w:r>
        <w:rPr>
          <w:b/>
        </w:rPr>
        <w:t>E. 5.1</w:t>
      </w:r>
    </w:p>
    <w:p>
      <w:r>
        <w:t>Il est tout d'abord relevé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Ce pays est en effet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En ce qui concerne l'Allemagne, cette présomption n'ayant pas été renversée, l'art. 3 par. 2 du règlement Dublin III ne trouve donc pas application en l'espèce.</w:t>
      </w:r>
    </w:p>
    <w:p>
      <w:r>
        <w:rPr>
          <w:b/>
        </w:rPr>
        <w:t>E. 5.2</w:t>
      </w:r>
    </w:p>
    <w:p>
      <w:r>
        <w:t>En second lieu, la présomption de sécurité peut être renversée par des indices sérieux que, dans le cas concret, les autorités de cet Etat ne respecteraient pas le droit international (ATAF 2010/45 consid. 7.4 et 7.5). Or, de tels indices font clairement défaut in casu. Le recourant n'a en effet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En outre, les autorités allemandes ayant expressément accepté, le (...) 2017, de prendre en charge l'intéressé, rien ne permet de considérer que celles-ci refuseraient de mener à terme l'examen de sa demande de protection, une fois qu'il l'y aura déposée, en violation de la directive Procédure. Il ne fait en outre aucun doute qu'il pourra, en Allemagne, dès qu'il y aura manifesté l'intention de demander d'asile, être informé dans une langue qu'il comprend et bénéficier, dans le cadre de sa procédure d'asile, des services d'un interprète, ceux-ci étant prévus par la directive Procédure, à tout le moins lorsqu'il n'est pas possible de garantir une communication adéquate sans de tels services (cf. art. 12 directive Procédure). Ensuite, le recourant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Enfin, bien qu'il ait allégué qu'il existerait une importante méfiance, en Allemagne, à l'égard des migrants, il n'a pas démontré que ses conditions d'existence dans ce pays revêtiraient un tel degré de pénibilité et de gravité qu'elles seraient constitutives d'un traitement contraire à l'art. 3 CEDH ou encore à l'art. 3 Conv. torture. Si A._______ devait toutefois, à son retour en Allemagne,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Dans ces conditions, le transfert vers l'Allemagne du recourant n'apparaît pas contraire aux obligations de la Suisse découlant des dispositions conventionnelles précitées.</w:t>
      </w:r>
    </w:p>
    <w:p>
      <w:r>
        <w:rPr>
          <w:b/>
        </w:rPr>
        <w:t>E. 5.3</w:t>
      </w:r>
    </w:p>
    <w:p>
      <w:r>
        <w:t>Enfin, le SEM a bien pris en compte les faits allégués par l'intéressé, susceptibles de constituer des « raisons humanitaires », au sens de l'art. 29a al. 3 OA 1. Il n'a pas fait preuve d'arbitraire dans son appréciation ou violé le principe de l'égalité de traitement. 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119 ss).</w:t>
      </w:r>
    </w:p>
    <w:p>
      <w:r>
        <w:rPr>
          <w:b/>
        </w:rPr>
        <w:t>E. 5.4</w:t>
      </w:r>
    </w:p>
    <w:p>
      <w:r>
        <w:t>Au vu de ce qui précède, le transfert de A._______ vers l'Allemagne n'est pas contraire aux obligations découlant de dispositions conventionnelles auxquelles la Suisse est liée. Il convient pour le surplus de renvoyer aux considérants de la décision attaquée dès lors que ceux-ci sont suffisamment explicites et motivés (art. 109 al. 3 LTF, par renvoi de l'art. 4 PA).</w:t>
      </w:r>
    </w:p>
    <w:p>
      <w:r>
        <w:rPr>
          <w:b/>
        </w:rPr>
        <w:t>E. 6</w:t>
      </w:r>
    </w:p>
    <w:p>
      <w:r>
        <w:t>C'est dès lors à juste titre que le SEM n'est pas entré en matière sur la demande de protection de A._______, en application de l'art. 31a al. 1 let. b LAsi, et qu'il a prononcé son transfert de Suisse vers l'Allemagne conformément à l'art. 44 LAsi, aucune exception à la règle générale du renvoi n'étant réalisée (art. 32 OA 1). Partant, le recours doit être rejeté.</w:t>
      </w:r>
    </w:p>
    <w:p>
      <w:r>
        <w:rPr>
          <w:b/>
        </w:rPr>
        <w:t>E. 7</w:t>
      </w:r>
    </w:p>
    <w:p>
      <w:r>
        <w:t>S'avérant manifestement infondé, le recours est rejeté dans une procédure à juge unique, avec l'approbation d'un second juge (art. 111 let. e LAsi). Il est dès lors renoncé à un échange d'écritures, le présent arrêt n'étant motivé que sommairement (cf. art. 111a al. 1 et 2 LAsi).</w:t>
      </w:r>
    </w:p>
    <w:p>
      <w:r>
        <w:rPr>
          <w:b/>
        </w:rPr>
        <w:t>E. 8</w:t>
      </w:r>
    </w:p>
    <w:p>
      <w:r>
        <w:t>Les conclusions du recours étant d'emblée vouées à l'échec, la demande d'assistance judiciaire partielle (art. 65 al. 1 PA) est rejetée. Ainsi,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