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F-4831/2025 vom 24. November 2025</w:t>
      </w:r>
    </w:p>
    <w:p>
      <w:r>
        <w:t>Bundesverwaltungsgericht, 2025-11-24, DE</w:t>
      </w:r>
    </w:p>
    <w:p>
      <w:r>
        <w:rPr>
          <w:b/>
        </w:rPr>
        <w:t xml:space="preserve">Quelle: </w:t>
      </w:r>
      <w:r>
        <w:t>https://mcp.opencaselaw.ch/entscheid/bvger_F-4831_2025</w:t>
      </w:r>
    </w:p>
    <w:p>
      <w:r>
        <w:t>FR: TAF F-4831/2025 du 24 novembre 2025</w:t>
      </w:r>
    </w:p>
    <w:p>
      <w:r>
        <w:t>IT: TAF F-4831/2025 del 24 novembre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hier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3 zu Art. 46a VwVG). Das Bundesverwaltungsgericht ist daher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 Der Beschwerdeführer ersuchte am 21. Juni 2022 um Asyl. Über dieses Gesuch hat das SEM in Form einer anfechtbaren Verfügung zu befinden, wobei eine solche bis anhin nicht ergangen ist. Der Beschwerdeführer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die Grenze. Der Zeitpunkt der Beschwerdeerhebung ist vorliegend nicht zu beanstanden.</w:t>
      </w:r>
    </w:p>
    <w:p>
      <w:r>
        <w:rPr>
          <w:b/>
        </w:rPr>
        <w:t>E. 1.5</w:t>
      </w:r>
    </w:p>
    <w:p>
      <w:r>
        <w:t>Der Beschwerdeführer hat beim SEM nach der Einreichung seines Gesuchs wiederholt die Behandlung desselben sowie implizit auch den Abschluss des entsprechenden Verfahrens verlangt und die Vorinstanz hat sich zur Prüfung des Gesuchs als zuständig erklärt. Auf die frist- und formgerecht eingereichte Beschwerde ist folglich einzutreten (Art. 50 und 52 Abs. 1 VwVG).</w:t>
      </w:r>
    </w:p>
    <w:p>
      <w:r>
        <w:rPr>
          <w:b/>
        </w:rPr>
        <w:t>E. 2</w:t>
      </w:r>
    </w:p>
    <w:p>
      <w:r>
        <w:t>Die Prüfungsbefugnis des Bundesverwaltungsgerichts beschränkt sich hier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w:t>
      </w:r>
    </w:p>
    <w:p>
      <w:r>
        <w:rPr>
          <w:b/>
        </w:rPr>
        <w:t>E. 3.3</w:t>
      </w:r>
    </w:p>
    <w:p>
      <w:r>
        <w:t>Ein Verschulden der Behörde an der Verzögerung wird nicht vorausgesetzt (vgl. BGE 138 II 513 E. 6.4; 107 Ib 160 E. 3c; 103 V 190 E. 5c). Spezialgesetzliche Behandlungsfristen sind bei der Beurteilung der Angemessenheit der Verfahrensdauer zu berücksichtigen (vgl. dazu etwa das Urteil des BVGer D-5680/2025 vom 1. September 2025 E. 4.2 m.w.H.).</w:t>
      </w:r>
    </w:p>
    <w:p>
      <w:r>
        <w:rPr>
          <w:b/>
        </w:rPr>
        <w:t>E. 4.1</w:t>
      </w:r>
    </w:p>
    <w:p>
      <w:r>
        <w:t>Der Beschwerdeführer verweist zur Begründung seiner Beschwerde im Wesentlichen darauf, dass sein Asylverfahren nun seit über (...) Jahren andauere, zumal er sein Gesuch am (...) eingereicht habe. Da er eine asylrechtlich relevante Verfolgung im Heimatland geltend mache und während des Asylverfahrens in zahlreichen grundrechtlich geschützten Bereichen stark eingeschränkt sei, sei das Verfahren dementsprechend von hoher Bedeutung. Sodann sei seit dem letzten erkennbaren Verfahrensschritt - der Aufforderung zur Einreichung weiterer Beweismittel vom 6. Mai 2024 - mittlerweile über ein Jahr vergangen, ohne dass die Vorinstanz irgendwelche erkennbaren Verfahrensschritte getätigt habe. Angesichts der bisherigen Gesamtdauer des Asylverfahrens von über (...) Jahren wäre sein Verfahren zweifelsfrei von der Vorinstanz zu priorisieren. Nach der Rechtsprechung des Bundesverwaltungsgerichts stelle eine Untätigkeit von über 10 Monaten eine Verletzung des Beschleunigungsgebots dar. Vorliegend seien mit seinen Eingaben vom 15. und 21. Mai 2024 letztmals Beweismittel eingereicht worden. Der Umstand, dass diese Unterlagen vom SEM übersetzt und gewürdigt werden müssten, könne eine Verzögerung von über einem Jahr nicht rechtfertigen. Schliesslich sei das von der Vorinstanz regelmässig ins Feld geführte Argument der hohen Geschäftslast seit dem Abklingen der Covid-19-Pandemie und dem aktuellen Rückgang der Asylzahlen nicht mehr stichhaltig.</w:t>
      </w:r>
    </w:p>
    <w:p>
      <w:r>
        <w:rPr>
          <w:b/>
        </w:rPr>
        <w:t>E. 4.2</w:t>
      </w:r>
    </w:p>
    <w:p>
      <w:r>
        <w:t>Wie aus dem Sachverhalt hervorgeht (siehe Bst. A vorstehend), wurde das Asylgesuch am (...) eingereicht und am (...) fand die Anhörung des Beschwerdeführers statt. Die Rechtsverzögerungsbeschwerde datiert vom 2. Juli 2025, sie ging also etwas mehr als (...) Jahre nach der Stellung des Asylgesuchs beim Bundesverwaltungsgericht ein. Innerhalb dieser Zeitspanne hat sich das SEM zwei Mal - nämlich am 6. Mai 2024 und am 19. November 2024 - an den Beschwerdeführer gewandt und ihm im Rahmen des ersten Schreibens eine letzte, nicht verlängerbare Frist gewährt, um alle weiteren Unterlagen zur Stützung seiner Asylgründe und zu möglichen Hindernissen für die Durchführung der Wegweisung in sein Herkunftsland einzureichen. Ferner hielt es fest, dass nach Ablauf der eingeräumten Frist auf der Grundlage der vorliegenden Unterlagen entschieden werde. Im zweiten Schreiben teilte es mit, das Verfahren sei infolge der hohen Geschäftslast noch immer hängig und über das Gesuch werde sobald als möglich gemäss interner Prioritätenordnung entschieden. In ihrer Vernehmlassung vom 29. August 2025 hielt die Vorinstanz sodann fest, sie habe den Beschwerdeführer am 25. August 2025 aufgefordert, alle relevanten Beweismittel vorzulegen, damit die Untersuchung des Falls abgeschlossen werden könne. Es seien alle Massnahmen zur Beschleunigung des Verfahrens ergriffen worden. Sie werde das Asylgesuch nun abschliessend prüfen und möglichst zeitnah einen Entscheid treffen oder, falls erforderlich, eine zusätzliche Anhörung planen.</w:t>
      </w:r>
    </w:p>
    <w:p>
      <w:r>
        <w:rPr>
          <w:b/>
        </w:rPr>
        <w:t>E. 4.3</w:t>
      </w:r>
    </w:p>
    <w:p>
      <w:r>
        <w:t>Das Bundesverwaltungsgericht ist in Kenntnis der hohen Pendenzenzahlen der Vorinstanz. Aufgrund der Vielzahl von Verfahren, welche die Vorinstanz gleichzeitig zu behandeln hat, sind gewisse Zeiten, während denen ein Dossier ruht (sog. «temps mort»), normal und hinzunehmen (vgl. BGE 130 IV 54 E. 3.3.3; 130 I 312 E. 5.2; 124 I 139 E. 2c). Insoweit ist es unvermeidbar und auch nachvollziehbar, dass gewisse Verfahren, insbesondere dann, wenn sich weitere Abklärungsmassnahmen aufdrängen, länger dauern können. Der vom SEM gegenüber dem Beschwerdeführer geäusserte Hinweis auf die hohe Geschäftslast, welcher sich das Bundesverwaltungsgericht bewusst ist, ist indes nicht geeignet, einen Rechtfertigungsgrund zu begründen (vgl. E. 3.3). Das Bundesverwaltungsgericht geht in seiner Rechtsprechung nach wie vor davon aus, dass es unvermeidbar ist, dass nicht jedes Asylverfahren innert der gesetzlichen Behandlungsfrist abgeschlossen werden kann. Dennoch liegen hinsichtlich der hier relevanten Zeitspanne zwischen dem letzten Verfahrensschritt (Einräumung einer letzten und nicht verlängerbaren Frist zur Einreichung von weiteren Beweismitteln zum Asylgesuch) am 6. Mai 2024 bis zur Einreichung der Rechtsverzögerungsbeschwerde am 2. Juli 2025 rund vierzehn Monate, in welchen die Vorinstanz noch zu keinem Entscheid über das Asylgesuch gelangt ist. Mit der Einräumung einer "letzten und nicht verlängerbaren" Frist, nach deren Ablauf über das Gesuch entschieden werde, hat das SEM dem Beschwerdeführer in seinem Schreiben vom 6. Mai 2024 zu erkennen gegeben, dass es nach Erhalt der weiteren Unterlagen (die mit Eingaben vom 15. und 21. Mai 2024 eingereicht wurden) einen Asylentscheid fällen werde. Es ist vor diesem Hintergrund nicht nachvollziehbar, weshalb die Vorinstanz zwischen ihren Amtshandlungen so viel Zeit verstreichen liess und weiterhin vierzehn Monate untätig blieb, ohne dass diesbezüglich die Notwendigkeit von weiteren Untersuchungshandlungen ersichtlich geworden wäre. Die Dauer dieser Untätigkeit verletzt das Beschleunigungsgebot. Daran ändert nichts, dass das SEM den Beschwerdeführer nun mit Schreiben vom 25. August 2025 erneut aufgefordert hat, weitere Informationen und aktuelle Beweismittel zu seinem Asylgesuch nachzureichen. Die Rüge der Rechtsverzögerung erweist sich somit insgesamt als begründet.</w:t>
      </w:r>
    </w:p>
    <w:p>
      <w:r>
        <w:rPr>
          <w:b/>
        </w:rPr>
        <w:t>E. 5</w:t>
      </w:r>
    </w:p>
    <w:p>
      <w:r>
        <w:t>Nach dem Gesagten ist die Beschwerde gutzuheissen. Die Akten gehen an die Vorinstanz zurück, verbunden mit der Anweisung, das Verfahren zügig - das heisst unter Vermeidung weiterer Phasen der Nichtbearbeitung - fortzuführen und mittels einer Verfügung erstinstanzlich abzuschliessen.</w:t>
      </w:r>
    </w:p>
    <w:p>
      <w:r>
        <w:rPr>
          <w:b/>
        </w:rPr>
        <w:t>E. 6.1</w:t>
      </w:r>
    </w:p>
    <w:p>
      <w:r>
        <w:t>Bei diesem Ausgang des Verfahrens sind keine Kosten zu erheben (Art. 63 Abs. 1 und 2 VwVG).</w:t>
      </w:r>
    </w:p>
    <w:p>
      <w:r>
        <w:rPr>
          <w:b/>
        </w:rPr>
        <w:t>E. 6.2</w:t>
      </w:r>
    </w:p>
    <w:p>
      <w:r>
        <w:t>Als obsiegende Partei hat der Beschwerdeführer für die ihm erwachsenen notwendigen Kosten Anrecht auf eine Parteientschädigung zu Lasten der Vorinstanz (Art. 64 Abs. 1 und 2 VwVG i.V.m. Art. 7 Abs. 1 und Art. 8 ff. des Reglements vom 21. Februar 2008 über die Kosten und Entschädigungen vor dem Bundesverwaltungsgericht [VGKE, SR 173.320.2]). Grundlage der Bemessung der Parteientschädigung bildet die vom Rechtsvertreter mit der Replik vom 11. September 2025 eingereichte Kostennote gleichen Datums (Art. 14 Abs. 2 VGKE). Darin werden Vertretungskosten in Gesamthöhe von Fr. 1'040.- (4 Stunden à Fr. 250.- zuzüglich Fr. 40.- Barauslagen) ausgewiesen. Der ausgewiesene Aufwand ist als angemessen zu erachten. Demnach ist das SEM anzuweisen, dem Beschwerdeführer eine Parteientschädigung von Fr. 1'040.- (inkl. Auslagen) auszurichten. Die Parteientschädigung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