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F-4829/2016 vom 12. Juli 2017</w:t>
      </w:r>
    </w:p>
    <w:p>
      <w:r>
        <w:t>Bundesverwaltungsgericht, 2017-07-12, FR</w:t>
      </w:r>
    </w:p>
    <w:p>
      <w:r>
        <w:rPr>
          <w:b/>
        </w:rPr>
        <w:t xml:space="preserve">Quelle: </w:t>
      </w:r>
      <w:r>
        <w:t>https://mcp.opencaselaw.ch/entscheid/bvger_F-4829_2016</w:t>
      </w:r>
    </w:p>
    <w:p>
      <w:r>
        <w:t>FR: TAF F-4829/2016 du 12 juillet 2017</w:t>
      </w:r>
    </w:p>
    <w:p>
      <w:r>
        <w:t>IT: TAF F-4829/2016 del 12 luglio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5.A titre préliminaire, le Tribunal constate que les conditions formelles de l'annulation de la naturalisation facilitée prévues par l'art. 41 LN sont réalisées dans le cas particulier. En effet, la naturalisation facilitée accordée à A._______ le 28 août 2012 a été annulée par l'autorité inférieure en date du 5 juillet 2016, soit avant l'échéance du délai péremptoire de huit ans prévu par la disposition précitée (cf. également, à ce sujet, l'arrêt du Tribunal administratif fédéral C-4259/2015 du 23 février 2016 consid. 4, et réf. cit.), avec l'assentiment des autorités cantonales compétentes (Genève, Neuchâtel et Fribourg). En outre, il appert que la décision d'annulation de la naturalisation facilitée respecte également le délai relatif de deux ans, dès lors qu'un nouveau délai de deux ans commence à courir après tout acte d'instruction communiqué à la personne naturalisée (art. 41 al.1bis LN). 6.Il convient d'examiner si les circonstances d'espèce répondent aux conditions matérielles de l'annulation de la naturalisation facilitée résultant du texte de la loi, de la volonté du législateur et de la jurisprudence développée en la matière. 6.1 En l'espèce, le Tribunal constate que les époux A._______ ont contracté mariage au Pakistan le 26 février 2004. Après avoir résidé dans ce pays avec son épouse durant six mois, A._______ est arrivé en Suisse dans le courant de l'été 2004 (étant rappelé ici que celui-ci était déjà venu une première fois dans ce pays en juin 2000 pour y entreprendre des études dans le canton de Neuchâtel). Du fait de son union avec une citoyenne suisse, le prénommé a été mis au bénéfice d'une autorisation de séjour dans le canton de Genève le 15 octobre 2004, puis d'une autorisation d'établissement le 22 octobre 2009, au titre du regroupement familial. Le 25 mars 2010, A._______ a déposé une demande de naturalisation facilitée et, le 12 avril 2012, les époux ont contresigné une déclaration selon laquelle ils vivaient en communauté conjugale effective et stable. En été 2012, l'intéressé et son ex-épouse ont parlé de séparation, comme cette dernière l'a confirmé. Par décision du 28 août 2012, l'instance inférieure a accordé la naturalisation facilitée au requérant. Le 1er décembre 2012, l'intéressé a élu un domicile séparé de son épouse et, en date du 25 juin 2013, les intéressés ont introduit une requête commune en divorce avec accord complet. Par jugement du 30 septembre 2013, le Tribunal civil compétent a dissous par le divorce leur mariage. Le 14 novembre 2014, A._______ a contracté un nouveau mariage, au Pakistan, avec une jeune ressortissante de ce pays, prénommée C._______, qui était alors âgée de près de vingt-six ans (cf. copie de l'acte de mariage produite le 4 septembre 2015). Enceinte des oeuvres de l'intéressé à la suite de cette nouvelle union, le recourant a avisé le SEM, en date du 24 février 2016, que la prénommée avait perdu son enfant avant le 3ème mois de sa grossesse. Les éléments précités et leur enchaînement chronologique rapide sont de nature à fonder la présomption de fait selon laquelle, au moment de la signature de la déclaration commune et lors de la décision de naturalisation, la communauté conjugale des ex-époux A._______ n'était plus stable et orientée vers l'avenir au sens de l'art. 27 LN. Le relatif court laps de temps séparant la déclaration commune (le 12 avril 2012), l'octroi de la naturalisation facilitée (le 28 août 2012), la prise d'un domicile séparé par l'intéressé (le 1er décembre 2012), le dépôt d'une requête commune en divorce (le 25 juin 2013), le jugement de divorce (le 30 septembre 2013) et le remariage du recourant avec une ressortissante pakistanaise (le 14 novembre 2014)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des époux intervient très rapidement, soit, comme en l'espèce, trois mois (environ) plus tard (cf. consid. 4.3 supra). La présomption de fait fondée sur la chronologie rapide des événements est par ailleurs corroborée par la nette différence d'âge séparant A._______ de son ex-épouse (presque dix ans) et par le fait que le recourant a contracté un nouveau mariage le 14 novembre 2014 avec une citoyenne pakistanaise de vingt-quatre ans plus jeune que sa première femme. Dans ce contexte, l'argument tiré du fait que le recourant n'est toujours pas père « d'un quelconque enfant » et que cela prouve qu'une éventuelle paternité ne constitue pas « une priorité » pour lui (cf. mémoire de recours, p. 32) tombe à faux, puisque sa nouvelle épouse était bien tombée enceinte de ses oeuvres après la conclusion dudit mariage (cf. courrier du 4 septembre 2015). L'intéressé ne saurait dans ces circonstances soutenir que le désir de pouvoir se créer un jour une descendance ne revêt pas, ou ne revêtait pas au moment déterminant, une certaine importance pour lui, comme il tente de le faire accroire dans son pourvoi (cf. mémoire de recours, p. 32). Le fait que la nouvelle épouse ait perdu son enfant avant le 3ème mois de grossesse (cf. courrier du 24 février 2016) est certes regrettable, mais n'est point susceptible de modifier cette analyse. 6.2 La présomption de fait énoncée au considérant 6.1 étant posée, il s'agit dès lors uniquement de déterminer si A._______ a pu la renverser en faisant valoir des circonstances, survenues après la signature de la déclaration commune ou après l'octroi de la naturalisation facilitée, et qui font en sorte que ses relations de couple - par hypothèse précédemment stable et orienté vers l'avenir - se seraient subitement détériorées jusqu'à entraîner le divorce, alors que rien ne le laissait présager auparavant. 6.2.1 Dans son pourvoi, le recourant reproche principalement au SEM d'avoir constaté les faits de manière « clairement erronée » et d'avoir porté un jugement moral « totalement inapproprié » sur ses relations avec son ex-épouse, ceci dans le but de conclure qu'il ne mérite en rien la nationalité suisse (cf. mémoire de recours, pp. 24 et 25). Il soutient ainsi avec force que « rien n'établit » qu'il aurait menti ou dissimulé des faits au moment de l'obtention de la naturalisation facilitée. Aussi le recourant estime-t-il tout à fait plausible que B._______, en raison de ses « troubles schizo-affectifs », ait pris « une décision rédhibitoire » concernant son mariage parce qu'elle n'arrivait pas gérer la situation de la venue des parents du recourant en Suisse (cf. mémoire de recours, p. 34). Ce faisant, le recourant sous-entend que ces éléments constituaient l'évènement extraordinaire ayant entrainé la dégradation rapide du lien conjugal. Le Tribunal ne saurait suivre pareil raisonnement, au vu des pièces ressortant du dossier. Quoi qu'en pense le recourant, les déclarations de B._______, prises dans leur ensemble, ne sont en effet pas susceptibles de détruire la présomption de fait fondée sur la chronologie des évènements. Ainsi, il appert qu'au cours de son audition rogatoire, la prénommée a déclaré sans ambages avoir déjà rencontré des problèmes conjugaux trois ou quatre ans après le mariage, soit en 2007 ou en 2008, et que ceux-ci étaient en lien avec la descendance commune et la consommation excessive de boissons alcoolisées de son ex-époux. Sur ce dernier point, elle a ajouté que « cet état n'était pas inquiétant au départ de notre union, mais par la suite ceci s'est aggravé » (cf. p.-v. d'audition rogatoire du 23 juillet 2014, ch. 2.2), ce qui tend à démontrer que le processus de délitescence du lien conjugal était déjà bien avancé durant la procédure de naturalisation facilitée. Cela est du reste corroboré par l'affirmation de B._______ selon laquelle la question d'une éventuelle séparation du couple avait été évoquée « surtout pendant l'été 2012 », époque à laquelle elle avait également pris connaissance de sa stérilité. L'on ne saurait donc reprocher à l'autorité inférieure d'avoir inféré de tout ce qui précède que les époux A._______ ne formaient plus une union stable et effective avant l'octroi de la naturalisation facilitée au moment déterminant, contrairement à ce que laisse accroire le recourant lorsqu'il soutient qu'il vivait « en union effective et stable » tant au moment de la demande de naturalisation qu'au moment de la réception du passeport suisse (cf. mémoire de recours, p. 32, et observations du 24 novembre 2016, p. 5). Dans ces circonstances, le fait que B._______ ait finalement pris la décision de se séparer de son époux au mois de novembre 2012, suite à l'arrivée des parents de ce dernier à Genève (cf. p.-v. d'audition précité, ch. 2.3), ne pouvait assurément pas constituer l'événement extraordinaire ayant entraîné la dégradation rapide du lien conjugal des époux A._______. A cet égard, ni les dépositions écrites de tiers censés confirmer que « la séparation est intervenue soudainement et sans signes précurseurs », ni l'attestation médicale confirmant le suivi psychiatrique régulier de l'intéressée une fois par semaine depuis le 30 janvier 2012 (cf. pli du 4 octobre 2016), ne permettent d'affaiblir la présomption établie plus haut. 6.2.2 Sur un autre plan, le recourant insiste sur le fait que c'est B._______ qui a pris l'initiative de divorcer alors que lui y était opposé (cf. mémoire de recours, p. 14). Cet argument n'est pas déterminant dans la mesure où les époux ont contresigné une requête commune de divorce le 25 juin 2013, ce qui tend à démontrer que le recourant a accepté l'idée de la dissolution du mariage et il apparaît ainsi peu probable qu'il n'ait découvert la dégradation de son couple qu'à ce moment-là. N'est par ailleurs pas décisif le fait que les ex-époux A._______ prétendent avoir poursuivi leur relation de couple bien au-delà du divorce et qu'ils « étaient encore amoureux l'un de l'autre » en avril 2016 (cf. écriture du 24 novembre 2016, p. 3, et lettre de B._______ produite le 18 avril 2016). Pareille attitude ne manque d'ailleurs pas de surprendre si l'on sait qu'A._______ est l'époux d'une jeune femme de nationalité pakistanaise depuis le 14 novembre 2014. Enfin, le recourant fait valoir que la décision du SEM est particulièrement inopportune, dès lors qu'il vit en Suisse depuis juin 2000 et qu'il aurait ainsi pu demander à bénéficier d'une naturalisation ordinaire (cf. mémoire de recours, p, 36). Pareil argument doit être écarté puisqu'il est sans pertinence pour apprécier si la naturalisation facilitée a été obtenue de façon frauduleuse ou non. 6.3 Ainsi, à défaut d'éléments convaincants apportés par le recourant, le Tribunal est d'avis qu'il y a lieu de s'en tenir à dite présomption de fait, fondée sur l'enchaînement chronologique et relativement rapide des événements, selon laquelle l'union formée par les ex-époux A._______ ne présentait plus l'intensité et la stabilité requises lors de la signature de la déclaration de vie commune et au moment de la décision de naturalisation facilitée.Partant, c'est à bon droit que l'autorité inférieure a annulé, en application de l'art. 41 LN et avec l'assentiment des cantons d'origine, la naturalisation facilitée octroyée à A._______.</w:t>
      </w:r>
    </w:p>
    <w:p>
      <w:r>
        <w:rPr>
          <w:b/>
        </w:rPr>
        <w:t>E. 7</w:t>
      </w:r>
    </w:p>
    <w:p>
      <w:r>
        <w:t>En vertu de l'art. 41 al. 3 LN, sauf décision expresse, l'annulation fait également perdre la nationalité suisse aux membres de la famille qui l'ont acquise en vertu de la décision annulée. En l'occurrence, le dispositif de la décision entreprise (ch. 3) précise que l'annulation de la naturalisation facilitée d'A._______ fait également perdre la nationalité suisse aux membres de sa famille qui l'auraient acquise en vertu de la décision annulée. Il n'apparaît pas que cette situation se présente dans le cas d'espèce, à la connaissance du Tribunal (cf. pli de l'autorité cantonale compétente du 7 juillet 2017), et le recourant n'a rien fait valoir à ce sujet. Il s'ensuit que la décision du SEM doit aussi être confirmée sur ce point. 8.Dans son pourvoi, A._______ a requis l'audition devant l'autorité de céans de plusieurs personnes en qualité de témoins (cf. mémoire de recours, p. 21 et 22), soit de la personne mentionnée dans le rapport d'enquête du 14 mai 2014, ainsi que de deux autres personnes qui ont également été citées comme personnes de référence pour soutenir sa demande de naturalisation facilitée. 8.1 Le Tribunal tient de prime abord à rappeler que la procédure de recours régie par la PA est en principe écrite. En effet, ni l'art. 29 PA, ni l'art. 29 Cst. ne donne à celui qui est partie à une procédure administrative le droit d'être entendu oralement par l'autorité (cf. notamment les ATF 140 I 68 consid. 9.6.1 et 134 I 140 consid. 5.3 ; voir également l'arrêt du Tribunal fédéral 6B_888/2014 du 5 mai 2015 consid. 4.2), ni celui d'obtenir de cette autorité l'audition de témoins (cf., sur ce second point, notamment l'arrêt du Tribunal fédéral 6B_888/2014 consid. 4.2). Par ailleurs, l'audition de témoins n'est prévue qu'à titre subsidiaire en procédure administrative, compte tenu, en particulier, de la sanction pénale sévère qui frappe le faux témoignage (cf. notamment l'ATF 130 II 169 consid. 2.3.3 ; arrêt du Tribunal fédéral 1C_292/2010 du 5 août 2010 consid. 3.2). Selon l'art. 14 PA, il n'est en effet procédé à l'audition de témoins que si cette mesure paraît indispensable à l'établissement des faits de la cause (cf. notamment l'ATF 130 II 169 consid. 2.3.3). 8.2 Dans le cas particulier, force est d'admettre que les faits de la cause sont suffisamment établis par les pièces figurant au dossier, de sorte qu'il ne s'avère pas indispensable de donner suite à la requête formulée par le recourant en vue de l'audition de divers témoins. En outre, celui-ci a été autorisé à produire des témoignages écrits de tiers dans le cadre de la procédure de recours (cf. décision incidente du 23 août 2016 et pli du 4 octobre 2016). Au surplus, le Tribunal considère que les éléments essentiels sur lesquels il a fondé son appréciation ressortent clairement du dossier et ne nécessitent aucun complément d'instruction (cf., en ce sens, notamment l'arrêt du Tribunal fédéral 1C_136/2015 du 20 août 2015 consid. 2.2).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138 III 374 consid. 4.3.2 ; arrêts du Tribunal fédéral 2C_87/2015/2C_88/2015 du 23 octobre 2015 consid. 4.1). Le Tribunal juge par conséquent inutile d'ordonner la comparution des témoins évoqués par le recourant. 8.3 S'agissant en particulier de la personne mentionnée dans le rapport d'enquête du 14 mai 2014, le recourant se plaint d'une violation de son droit d'être entendu. Il fait valoir que ni lui ni son conseil n'étaient présents lors de l'audition qui s'est déroulée le 5 mai 2014 devant l'autorité cantonale genevoise, de sorte qu'il n'a pas eu la possibilité de poser des questions complémentaires pour éclaircir l'un ou l'autre des points évoqués. Par ailleurs, il estime que le rapport d'enquête constitue un simple résumé qui est sujet à caution, puisqu'il ne lui permet pas de savoir ce qui a effectivement été dit par ce témoin. La conséquence de cela est que ce témoignage ne peut être utilisé (cf. mémoire de recours, pp. 21 et 22). 8.3.1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 ATF 129 II 497 consid. 2.2, 127 I 54 consid. 2b, 126 I 15 consid. 2a/aa et les arrêts cités). 8.3.2 En l'occurrence, il appert que le témoin en question a été interrogé par le service cantonal comme personne entendue à titre de renseignements. Selon la jurisprudence en matière de procédure administrative fédérale, l'exclusion de la participation d'une partie ne constitue pas une violation du droit d'être entendu, car il suffit pour sauvegarder ce droit que la partie ait eu la possibilité de prendre connaissance du procès-verbal et de se déterminer à ce sujet (cf. ATF 130 II 169 consid. 2.3.5 ; arrêt du Tribunal fédéral 1C_534/2010 du 1er mars 2011 consid. 3.2). Or, il appert qu'une copie du rapport d'enquête du 14 mai 2014 a été portée à la connaissance du conseil de l'intéressé le 17 mars 2016, avec un délai pour lui permettre de faire valoir ses observations. Par courrier du 18 avril 2016, ledit conseil a fait largement usage de cette possibilité. Dans ces conditions, le grief tiré d'une violation du droit d'être entendu du recourant paraît infondé. Cela étant, il n'y a pas lieu d'examiner plus avant cette question, puisque le Tribunal de céans ne tiendra pas compte du témoignage de cette personne pour fonder son arrêt.</w:t>
      </w:r>
    </w:p>
    <w:p>
      <w:r>
        <w:rPr>
          <w:b/>
        </w:rPr>
        <w:t>E. 9</w:t>
      </w:r>
    </w:p>
    <w:p>
      <w:r>
        <w:t>Il ressort de ce qui précède que, par sa décision du 5 juillet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