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F-4825/2016 vom 8. Mai 2018</w:t>
      </w:r>
    </w:p>
    <w:p>
      <w:r>
        <w:t>Bundesverwaltungsgericht, 2018-05-08, FR</w:t>
      </w:r>
    </w:p>
    <w:p>
      <w:r>
        <w:rPr>
          <w:b/>
        </w:rPr>
        <w:t xml:space="preserve">Quelle: </w:t>
      </w:r>
      <w:r>
        <w:t>https://mcp.opencaselaw.ch/entscheid/bvger_F-4825_2016</w:t>
      </w:r>
    </w:p>
    <w:p>
      <w:r>
        <w:t>FR: TAF F-4825/2016 du 8 mai 2018</w:t>
      </w:r>
    </w:p>
    <w:p>
      <w:r>
        <w:t>IT: TAF F-4825/2016 del 8 maggio 2018</w:t>
      </w:r>
    </w:p>
    <w:p>
      <w:pPr>
        <w:pStyle w:val="Heading2"/>
      </w:pPr>
      <w:r>
        <w:t>Regeste</w:t>
      </w:r>
    </w:p>
    <w:p>
      <w:r>
        <w:t>Interdiction d'entrée</w:t>
      </w:r>
    </w:p>
    <w:p>
      <w:pPr>
        <w:pStyle w:val="Heading2"/>
      </w:pPr>
      <w:r>
        <w:t>Erwägungen</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 Anfechtungsgegenstand »),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F-1341/2016 du 8 mars 2017 consid. 2.1).</w:t>
      </w:r>
    </w:p>
    <w:p>
      <w:r>
        <w:rPr>
          <w:b/>
        </w:rPr>
        <w:t>E. 2.2</w:t>
      </w:r>
    </w:p>
    <w:p>
      <w:r>
        <w:t>En l'espèce, le cadre litigieux de la procédure de recours initiée le 3 août 2016 est circonscrit par la décision rendue par l'autorité intimée le 20 janvier 2016, prononçant une interdiction d'entrée en Suisse et au Lichtenstein à l'encontre du recourant pour une durée de cinq ans, et l'inscription de ladite interdiction dans le SIS II.</w:t>
      </w:r>
    </w:p>
    <w:p>
      <w:r>
        <w:rPr>
          <w:b/>
        </w:rPr>
        <w:t>E. 2.3</w:t>
      </w:r>
    </w:p>
    <w:p>
      <w:r>
        <w:t>Il sied de noter cependant, qu'ainsi que le SEM l'a confirmé dans ses observations du 10 novembre 2016, l'inscription du refus d'entrée dans le SIS II a été supprimée en date du 22 juillet 2016, de sorte qu'hormis la Suisse et le Lichtenstein, l'intéressé n'est pas empêché de voyager dans l'espace Schengen. En conséquence, l'objet du recours ne vise dorénavant que la décision du SEM du 20 janvier 2016 en ce qu'elle impose une interdiction d'entrée en Suisse et au Lichtenstein (et non dans le reste de l'Espace Schengen) pour une durée de cinq ans.</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3.3</w:t>
      </w:r>
    </w:p>
    <w:p>
      <w:r>
        <w:t>Dans son arrêt, le Tribunal prend en considération l'état de fait existant au moment où il statue (ATAF 2014/1 consid. 2).</w:t>
      </w:r>
    </w:p>
    <w:p>
      <w:r>
        <w:rPr>
          <w:b/>
        </w:rPr>
        <w:t>E. 4</w:t>
      </w:r>
    </w:p>
    <w:p>
      <w:r>
        <w:t>Dans le cas d'espèce, l'autorité inférieure a prononcé une mesure d'interdiction d'entrée en Suisse et au Liechtenstein à l'encontre du recourant pour une durée de 5 ans. Comme motif justifiant cette mesure, l'autorité inférieure a retenu que l'intéressé avait fait l'objet de deux condamnations en Suisse, soit notamment une pour désagréments causés par une confrontation à un acte d'ordre sexuel et activité lucrative sans autorisation, et une autre pour faux dans les certificats et conduite d'un véhicule sans permis de conduire, avant d'en conclure que le recourant avait mis en danger la sécurité et l'ordre publics. Aucun intérêt privé susceptible de l'emporter sur l'intérêt public à ce que ses entrées en Suisse et dans l'Espace Schengen soient dorénavant contrôlées ne ressortait par ailleurs du dossier. Selon le recourant, une interdiction d'entrée ne se justifiait pas, ou sa durée devrait à tout le moins être réduite, au motif que les condamnations pénales n'ont pas été prononcés pour des faits graves et ne sont pas de nature à mettre en danger l'ordre public.</w:t>
      </w:r>
    </w:p>
    <w:p>
      <w:r>
        <w:rPr>
          <w:b/>
        </w:rPr>
        <w:t>E. 5</w:t>
      </w:r>
    </w:p>
    <w:p>
      <w:r>
        <w:t>Le Tribunal examinera dans un premier temps si le prononcé d'une interdiction d'entrée en Suisse et au Liechtenstein à l'endroit du recourant se justifie.</w:t>
      </w:r>
    </w:p>
    <w:p>
      <w:r>
        <w:rPr>
          <w:b/>
        </w:rPr>
        <w:t>E. 5.1</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w:t>
      </w:r>
    </w:p>
    <w:p>
      <w:r>
        <w:rPr>
          <w:b/>
        </w:rPr>
        <w:t>E. 5.2</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w:t>
      </w:r>
    </w:p>
    <w:p>
      <w:r>
        <w:rPr>
          <w:b/>
        </w:rPr>
        <w:t>E. 5.3</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le Message du Conseil fédéral du 8 mars 2002 concernant la loi sur les étrangers, FF 2002 3469, 3568 [ci-après : Message LEtr] ; voir également ATAF 2008/24 consid. 4.2).</w:t>
      </w:r>
    </w:p>
    <w:p>
      <w:r>
        <w:rPr>
          <w:b/>
        </w:rPr>
        <w:t>E. 5.4</w:t>
      </w:r>
    </w:p>
    <w:p>
      <w:r>
        <w:t>L'art. 80 de l'ordonnance du 24 octobre 2007 relative à l'admission, au séjour et à l'exercice d'une activité lucrative (OASA, RS 142.201)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5.5</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3469, 3564).</w:t>
      </w:r>
    </w:p>
    <w:p>
      <w:r>
        <w:rPr>
          <w:b/>
        </w:rPr>
        <w:t>E. 5.6</w:t>
      </w:r>
    </w:p>
    <w:p>
      <w:r>
        <w:t>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6.1</w:t>
      </w:r>
    </w:p>
    <w:p>
      <w:r>
        <w:t>En l'occurrence, les faits retenus par l'autorité inférieure pour motiver la mesure d'éloignement prononcée à l'encontre du recourant sont clairement établis et ont mené à deux condamnations pénales de ce dernier, couvrant un total de 4 infractions : -Le 9 janvier 2015, le Ministère public du canton de Vaud (arrondissement de l'Est Vaudois) a rendu une ordonnance pénale contre l'intéressé pour désagréments causés par la confrontation à un acte d'ordre sexuel (art. 198 CP) et exercice d'une activité lucrative sans autorisation (art. 115 al. 1 let. c LEtr), le condamnant à 60 jours-amende à frs. 30.- avec sursis pendant deux ans, et frs. 750.- francs d'amende, la peine privative de liberté étant fixée à 25 jours. -Le 28 juillet 2015, le Ministère public du canton de Vaud (arrondissement de Lausanne) a rendu une deuxième ordonnance pénale contre l'intéressé pour faux dans les certificats (art. 252 CP) et conduite d'un véhicule sans autorisation (art. 95 al. 1 let. a LCR), le condamnant à une peine pécuniaire de 45 jours-amende, la valeur du jour amende étant fixée à frs. 30.- avec sursis pendant deux ans, et à frs. 270.-, convertibles en 9 jours de peine privative de liberté de substitution en cas de non-paiement dans le délai imparti.</w:t>
      </w:r>
    </w:p>
    <w:p>
      <w:r>
        <w:rPr>
          <w:b/>
        </w:rPr>
        <w:t>E. 6.2</w:t>
      </w:r>
    </w:p>
    <w:p>
      <w:r>
        <w:t>Il ne fait par conséquent aucun doute que le recourant, en séjournant illégalement en Suisse et en y exerçant une activité lucrative sans autorisation, a violé à plusieurs reprises les prescriptions en matière de police des étrangers et qu'il a attenté ainsi à l'ordre et à la sécurité publics. Cette violation peut être qualifiée de grave (cf. consid. 5.6). Dans ce contexte, on soulignera que l'intérêt public à lutter contre le travail au noir revêt une importance non négligeable. Cette infraction est en effet à l'origine de nombreux problèmes (notamment pertes de recettes pour le secteur public, menace pour la protection des travailleurs, distorsions de la concurrence et de la péréquation financière), nécessitant une politique de répression accrue et systématique (cf. arrêt du TF 2C_881/2012 du 16 janvier 2013 consid. 4.3.2 ; arrêt du TAF F-3233/2015, F-3230/2015 du 13 janvier 2017 consid. 6.2 et les réf. cit.). On ajoutera également que l'intéressé a violé plusieurs dispositions du Code pénal et des dispositions pénales du Code sur la circulation routière. Ces infractions constituent également une atteinte à l'ordre et à la sécurité publics et justifient elles aussi la prise d'une mesure d'éloignement à son encontre.</w:t>
      </w:r>
    </w:p>
    <w:p>
      <w:r>
        <w:rPr>
          <w:b/>
        </w:rPr>
        <w:t>E. 7</w:t>
      </w:r>
    </w:p>
    <w:p>
      <w:r>
        <w:t>A ce stade, il faut encore vérifier si la mesure d'éloignement prononcée pour une durée de 5 ans est proportionnée.</w:t>
      </w:r>
    </w:p>
    <w:p>
      <w:r>
        <w:rPr>
          <w:b/>
        </w:rPr>
        <w:t>E. 7.1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7.2</w:t>
      </w:r>
    </w:p>
    <w:p>
      <w:r>
        <w:t>En l'occurrence, s'agissant de l'intérêt public à l'éloignement du recourant de Suisse, le Tribunal constate que les motifs retenus à l'appui de la mesure d'éloignement prise à son encontre (soit le séjour illégal et l'exercice d'une activité lucrative sans autorisation), ainsi que les autres infractions ne sauraient être raisonnablement contestés, celles-ci ayant fait l'objet de plusieurs ordonnances pénales entrées en force de chose jugée. Les infractions en matière de police des étrangers retenues à l'encontre du recourant doivent par ailleurs être qualifiées de graves (cf. consid. 5.6 et 6.2 supra), bien qu'il ne soit pas nécessaire que l'intéressé ait atteint de manière grave l'ordre et la sécurité public avant de pouvoir se voir interdire l'entrée en Suisse, étant un ressortissant d'un Etat tiers (cf. ATF 139 II 121 consid. 5.4). Compte tenu également du nombre élevé de contraventions commises dans le domaine de la police des étrangers, vu que le recourant a reconnu se rendre une fois par mois en Suisse, chaque fois pour deux semaines, les autorités sont contraintes d'intervenir avec fermeté afin d'assurer la stricte application des prescriptions édictées en la matière. Il en va de l'intérêt public de l'Etat à voir respecter l'ordre établi et la législation en vigueur (cf. par ex. arrêts du TAF F-6005/2016 du 10 octobre 2017 consid. 5.2 ; F-3242/2016 du 9 août 2017 consid. 5.4 et les réf. cit.). L'interdiction d'entrée est dès lors apte et nécessaire pour empêcher un étranger ne bénéficiant pas d'autorisation idoine de séjourner et de travailler sur le territoire suisse.</w:t>
      </w:r>
    </w:p>
    <w:p>
      <w:r>
        <w:rPr>
          <w:b/>
        </w:rPr>
        <w:t>E. 7.3</w:t>
      </w:r>
    </w:p>
    <w:p>
      <w:r>
        <w:t>A cela s'ajoute également le fait que le recourant a violé des normes importantes du Code pénal suisse, telles que les art. 198 et 252 CP, lesquelles se rapportent à des intérêts fondamentaux, ce qui justifie d'utiliser la marge de manoeuvre autorisée par l'art. 67 al. 3 LEtr. On retiendra enfin qu'il a également été condamné pour des infractions à la loi fédérale sur la circulation routière. Au vu de ce qui précède, l'intérêt public à l'éloignement du recourant doit être qualifié d'important.</w:t>
      </w:r>
    </w:p>
    <w:p>
      <w:r>
        <w:rPr>
          <w:b/>
        </w:rPr>
        <w:t>E. 7.4</w:t>
      </w:r>
    </w:p>
    <w:p>
      <w:r>
        <w:t>L'intéressé n'a par ailleurs pas fait valoir d'intérêt personnel particulier s'opposant au prononcé de cette mesure. Le Tribunal relève à ce titre que l'intéressé a affirmé avoir une soeur majeure en Suisse, ce qui n'est pas d'une importance suffisante pour prévaloir sur l'intérêt public à l'éloignement du recourant du territoire helvétique (cf. art. 67 al. 5 LEtr).</w:t>
      </w:r>
    </w:p>
    <w:p>
      <w:r>
        <w:rPr>
          <w:b/>
        </w:rPr>
        <w:t>E. 7.5</w:t>
      </w:r>
    </w:p>
    <w:p>
      <w:r>
        <w:t>Partant, la mesure d'éloignement prise par l'autorité inférieure le 20 janvier 2016 est conforme au principe de la proportionnalité. En outre, la durée de la mesure respecte également ce principe et correspond à celle prononcée dans des cas analogues. Enfin, on ne perçoit pas de raisons humanitaires ou d'autres motifs importants justifiant l'abstention ou la suspension de la mesure d'éloignement au sens de l'art. 67 al. 5 LEtr.</w:t>
      </w:r>
    </w:p>
    <w:p>
      <w:r>
        <w:rPr>
          <w:b/>
        </w:rPr>
        <w:t>E. 8</w:t>
      </w:r>
    </w:p>
    <w:p>
      <w:r>
        <w:t>Au vu de ce qui précède, le Tribunal considère que l'autorité inférieure, en rendant sa décision du 20 janvier 2016, n'a ni violé le droit fédéral, ni constaté des faits pertinents de manière inexacte ou incomplète ; en outre, cette décision n'est pas inopportune (art. 49 PA). En conséquence, le recours est rejeté. Vu l'issue de la cause, les frais de la procédure de frs. 400.- doivent être mis à la charge du recourant, qui ne peut par ailleurs prétendre à l'octroi de dépens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