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F-4823/2022 vom 6. März 2023</w:t>
      </w:r>
    </w:p>
    <w:p>
      <w:r>
        <w:t>Bundesverwaltungsgericht, 2023-03-06, DE</w:t>
      </w:r>
    </w:p>
    <w:p>
      <w:r>
        <w:rPr>
          <w:b/>
        </w:rPr>
        <w:t xml:space="preserve">Quelle: </w:t>
      </w:r>
      <w:r>
        <w:t>https://mcp.opencaselaw.ch/entscheid/bvger_F-4823_2022</w:t>
      </w:r>
    </w:p>
    <w:p>
      <w:r>
        <w:t>FR: TAF F-4823/2022 du 6 mars 2023</w:t>
      </w:r>
    </w:p>
    <w:p>
      <w:r>
        <w:t>IT: TAF F-4823/2022 del 6 marzo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3.2</w:t>
      </w:r>
    </w:p>
    <w:p>
      <w:r>
        <w:t>Das Einreiseverbot wird grundsätzlich für eine Dauer von höchstens fünf Jahren verfügt (Art. 67 Abs. 3 erster Satz AIG). Es kann für eine längere Dauer angeordnet werden, wenn die betroffene Person eine schwerwiegende Gefahr für die öffentliche Sicherheit und Ordnung darstellt (Art. 67 Abs. 3 zweiter Satz AIG).</w:t>
      </w:r>
    </w:p>
    <w:p>
      <w:r>
        <w:rPr>
          <w:b/>
        </w:rPr>
        <w:t>E. 3.3</w:t>
      </w:r>
    </w:p>
    <w:p>
      <w:r>
        <w:t>Die verfügende Behörde kann ausnahmsweise aus humanitären oder anderen wichtigen Gründen von der Verhängung eines Einreiseverbots absehen oder ein Einreiseverbot endgültig oder vorübergehend aufheben (Art. 67 Abs. 5 erster Satz AIG).</w:t>
      </w:r>
    </w:p>
    <w:p>
      <w:r>
        <w:rPr>
          <w:b/>
        </w:rPr>
        <w:t>E. 3.4</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4.1</w:t>
      </w:r>
    </w:p>
    <w:p>
      <w:r>
        <w:t>Die Vorinstanz begründet das Einreiseverbot damit, dass der Beschwerdeführer eine Scheinehe eingegangen sei, was rechtskräftig festgestellt worden sei. Damit habe er sich erhebliche aufenthaltsrechtliche Vorteile verschaffen wollen. Das Eingehen einer Scheinehe werde praxisgemäss als schwerwiegender Verstoss gegen die öffentliche Ordnung angesehen. Die Voraussetzungen für den Erlass eines Einreiseverbots seien folglich erfüllt. Aus dem Verhalten des Beschwerdeführers, das eine beträchtliche betrügerische Energie und eine Geringschätzung für die hiesige Rechtsordnung zum Ausdruck bringe, lasse sich auf eine (zukünftige) Gefährdung der öffentlichen Sicherheit und Ordnung schliessen. Das öffentliche Interesse an einer Fernhaltemassnahme überwiege die geltend gemachten privaten Interessen an einer ungehinderten Einreise in die Schweiz und den Schengen-Raum. Folglich sei der Erlass eines Einreiseverbots von fünf Jahren auch unter Berücksichtigung der privaten Interessen gerechtfertigt und verhältnismässig.</w:t>
      </w:r>
    </w:p>
    <w:p>
      <w:r>
        <w:rPr>
          <w:b/>
        </w:rPr>
        <w:t>E. 4.2</w:t>
      </w:r>
    </w:p>
    <w:p>
      <w:r>
        <w:t>Der Beschwerdeführer bringt vor, die Rechtsgültigkeit der Ehe sei seitens der Republik Kosovo nie in Frage gestellt worden. Die Ehe habe nach wie vor Bestand. Lediglich die Schweizer Behörden hätten sich im Zusammenhang mit dem eingereichten Familiennachzugsgesuch auf den Standpunkt gestellt, es handle sich um eine Scheinehe. Ein Verstoss gegen die öffentliche Sicherheit und Ordnung liege jedoch nicht vor und für die Anordnung eines Einreiseverbots bestehe keine gesetzliche Grundlage. Im Zusammenhang mit der Verhältnismässigkeitsprüfung sei festzuhalten, dass er sich nie unrechtmässig in der Schweiz aufgehalten habe, sondern von Anfang an den legalen Weg via Gesuch um Einreise gewählt habe. Er habe sich stets an die Anordnungen der Behörden gehalten, sei nie straffällig geworden oder habe Sozialhilfebeiträge bezogen. Daraus könne geschlossen werden, dass er sich auch künftig an die öffentliche Ordnung halten werde. Es bestehe somit kein öffentliches Interesse an seiner Fernhaltung. Hinsichtlich der privaten Interessen sei festzuhalten, dass er nach wie vor mit seiner Ehefrau verheiratet sei und diese regelmässig in der Schweiz besuchen möchte. Durch die Ausschreibung im SIS habe er zudem keine Möglichkeit mehr, seine im Schengen-Raum lebenden Geschwister zu besuchen. Die Voraussetzungen für die SIS-Ausschreibung seien nicht erfüllt. Aufgrund einer Abwägung der Interessen wäre ein auf höchstens zwei Jahre befristetes Einreiseverbot angemessen.</w:t>
      </w:r>
    </w:p>
    <w:p>
      <w:r>
        <w:rPr>
          <w:b/>
        </w:rPr>
        <w:t>E. 4.3</w:t>
      </w:r>
    </w:p>
    <w:p>
      <w:r>
        <w:t>In der Vernehmlassung führt die Vorinstanz aus, das Verwaltungsgericht des Kantons C._______ habe rechtskräftig festgestellt, dass der Beschwerdeführer eine Umgehungsehe geschlossen habe. Die Voraussetzungen für ein Einreiseverbot seien somit fraglos erfüllt. Der Beschwerdeführer habe durch das Eingehen und Aufrechterhalten einer Scheinehe die Migrationsbehörden getäuscht. Der familiäre Kontakt könne auch durch Besuche im Kosovo oder über moderne Kommunikationsmittel gepflegt werden. Zudem bestehe die Möglichkeit einer kurzzeitigen Suspension der Fernhaltemassnahme. Ein Verzicht auf eine Ausschreibung im SIS käme schliesslich nur in Frage, wenn der Beschwerdeführer im Besitz eines Aufenthaltstitels eines Schengen-Mitgliedstaats wäre, was vorliegend nicht der Fall sei. Unter Berücksichtigung der gängigen Praxis in vergleichbaren Fällen werde das Einreiseverbot in teilweiser Wiedererwägung auf drei Jahre reduziert.</w:t>
      </w:r>
    </w:p>
    <w:p>
      <w:r>
        <w:rPr>
          <w:b/>
        </w:rPr>
        <w:t>E. 4.4</w:t>
      </w:r>
    </w:p>
    <w:p>
      <w:r>
        <w:t>In der Replik bringt der Beschwerdeführer vor, es sei nochmals festzuhalten, dass weder er noch seine Ehefrau mit dem Eingehen einer Ehe gegen gesetzliche Vorschriften verstossen oder behördliche Verfügungen missachtet hätten. Die öffentliche Sicherheit und Ordnung sei zu keinem Zeitpunkt gefährdet worden. Er habe zudem keine Sozialhilfekosten verursacht oder habe in Haft genommen werden müssen. Da kosovarische Staatsangehörige für die Einreise in die Schweiz ein Visum benötigen würden, hätten die Schweizer Behörden es unabhängig vom Erlass eines Einreiseverbots in der Hand, über eine allfällige Einreise in die Schweiz zu entscheiden. Der Erlass eines Einreiseverbots sei deshalb unnötig. Auch das auf drei Jahre befristete Einreiseverbot sei angesichts seiner privaten Interessen unverhältnismässig. Dasselbe gelte für die Ausschreibung im SIS, zumal er keine Gefahr für die öffentliche Sicherheit und Ordnung darstelle.</w:t>
      </w:r>
    </w:p>
    <w:p>
      <w:r>
        <w:rPr>
          <w:b/>
        </w:rPr>
        <w:t>E. 5</w:t>
      </w:r>
    </w:p>
    <w:p>
      <w:r>
        <w:t>Am 1. Dezember 2022 kam die Vorinstanz im Rahmen des Vernehmlassungsverfahrens teilweise auf das angefochtene Einreiseverbot zurück und befristete dieses neu bis zum 8. September 2025. Gegenstand des vorliegenden Verfahrens bildet daher lediglich noch das für die Dauer von drei Jahren ausgefällte Einreiseverbot, mitsamt dessen Ausschreibung im SIS (Art. 58 Abs. 3 VwVG). Soweit die Beschwerde vom 24. Oktober 2022 darüber hinausgeht, ist sie als gegenstandslos geworden abzuschreiben.</w:t>
      </w:r>
    </w:p>
    <w:p>
      <w:r>
        <w:rPr>
          <w:b/>
        </w:rPr>
        <w:t>E. 6</w:t>
      </w:r>
    </w:p>
    <w:p>
      <w:r>
        <w:t>Das Eingehen einer Scheinehe wird praxisgemäss als Verstoss gegen die öffentliche Ordnung nach Art. 67 Abs. 2 Bst. a AIG (in der hier anwendbaren, bis am 21. November 2022 gültig gewesenen Fassung vom 18. Juni 2010 [AS 2010 5925]) angesehen (vgl. etwa Urteile des BVGerF-4288/2021 vom 28. September 2022 E. 4.3; F-4177/2019 vom 27. April 2021 E. 4.4; F-2561/2019 vom 5. Februar 2021 E. 4.2). Mit dem Urteil des Verwaltungsgerichts des Kantons C._______ vom 2. Februar 2022 steht fest, dass der Beschwerdeführer eine Umgehungsehe geschlossen hatte. Folglich liegt entgegen seiner Ansicht ein Verstoss gegen die öffentliche Sicherheit und Ordnung vor. Sein Vorbringen, im Kosovo sei seine Ehe zu keinem Zeitpunkt in Frage gestellt worden, ist nicht massgeblich. Der Fernhaltegrund nach Art. 67 Abs. 2 Bst. a AIG (in der hier anwendbaren, bis am 21. November 2022 gültig gewesenen Fassung vom 18. Juni 2010 [AS 2010 5925]) ist gesetzt.</w:t>
      </w:r>
    </w:p>
    <w:p>
      <w:r>
        <w:rPr>
          <w:b/>
        </w:rPr>
        <w:t>E. 7.1</w:t>
      </w:r>
    </w:p>
    <w:p>
      <w:r>
        <w:t>Zu prüfen bleibt die Verhältnismässigkeit der Massnahme (vgl. E. 3.4).</w:t>
      </w:r>
    </w:p>
    <w:p>
      <w:r>
        <w:rPr>
          <w:b/>
        </w:rPr>
        <w:t>E. 7.2</w:t>
      </w:r>
    </w:p>
    <w:p>
      <w:r>
        <w:t>Der Beschwerdeführer bestreitet, dass von ihm eine Gefahr für künftige Störungen der öffentlichen Sicherheit und Ordnung ausgehe. Dabei übersieht er, dass er durch das Eingehen und Aufrechterhalten einer Scheinehe versucht hat, die Migrationsbehörden zu täuschen, um sich dadurch aufenthaltsrechtliche Vorteile zu verschaffen. Ein solches Fehlverhalten wiegt objektiv schwer. Das Einreiseverbot hat deshalb spezialpräventiven Charakter, um weiteren illegalen Handlungen entgegenzuwirken, zumal der Beschwerdeführer jede Einsicht in die Problematik seines Tuns vermissen lässt. Darüber hinaus kommt bei Drittstaatsangehörigen der Rückfallgefahr im Vergleich mit Staatsangehörigen einer Vertragspartei des Freizügigkeitsabkommens (FZA, SR 0.142.112.681) eine geringere Tragweite zu (BGE 139 II 121 E. 6.1; 136 II 5 E. 4.2; BVGE 2017 VII/2 E. 4.4).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7.3</w:t>
      </w:r>
    </w:p>
    <w:p>
      <w:r>
        <w:t>Den öffentlichen Fernhalteinteressen sind die privaten Interessen des Beschwerdeführers entgegenzuhalten. Nachdem die Ehe als Scheinehe qualifiziert wurde und somit keine echte, geschützte Familienbeziehung zwischen dem Beschwerdeführer und seiner Ehefrau besteht, ist auch das entsprechende private Interesse als gering einzustufen. Den Geschwistern des Beschwerdeführers, die angeblich im Schengen-Raum leben, ist es zuzumuten, den Beschwerdeführer ausserhalb des Schengen-Raums, namentlich im Kosovo, wo er sich zurzeit befindet, zu besuchen. Ferner kann das Einreiseverbot zur Wahrnehmung von Besuchen von Familienangehörigen auf begründetes Gesuch hin für eine kurze Zeitspanne suspendiert werden. Nicht beeinträchtigt wird sodann die Pflege der Kontakte auf andere Weise als durch persönliche Treffen, namentlich mittels moderner Kommunikationsmittel. Die nachteiligen Auswirkungen des Einreiseverbots bestehen somit darin, dass der Beschwerdeführer während drei Jahren den Kontakt mit seinen Angehörigen nur unter erschwerten Bedingungen pflegen kann.</w:t>
      </w:r>
    </w:p>
    <w:p>
      <w:r>
        <w:rPr>
          <w:b/>
        </w:rPr>
        <w:t>E. 7.4</w:t>
      </w:r>
    </w:p>
    <w:p>
      <w:r>
        <w:t>Nach Abwägung der sich gegenüberstehenden Interessen und unter Berücksichtigung der Praxis in ähnlich gelagerten Fällen erweist sich das vorliegende dreijährige Einreiseverbot sowohl im Grundsatz als auch hinsichtlich seiner Dauer als verhältnismässig (vgl. Urteile F-4288/2021, F-4177/2019, F-2561/2019, F-761/2019).</w:t>
      </w:r>
    </w:p>
    <w:p>
      <w:r>
        <w:rPr>
          <w:b/>
        </w:rPr>
        <w:t>E. 8</w:t>
      </w:r>
    </w:p>
    <w:p>
      <w:r>
        <w:t>Abschliessend zu prüfen ist die Rechtmässigkeit der von der Vorinstanz angeordneten und vom Beschwerdeführer beanstandeten Ausschreibung des Einreiseverbots im SIS.</w:t>
      </w:r>
    </w:p>
    <w:p>
      <w:r>
        <w:rPr>
          <w:b/>
        </w:rPr>
        <w:t>E. 8.1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8.2</w:t>
      </w:r>
    </w:p>
    <w:p>
      <w:r>
        <w:t>In Anbetracht der vorangegangenen Ausführungen ist ein überwiegendes öffentliches Interesse nicht nur der Schweiz, sondern sämtlicher Schengen-Staaten an der längerfristigen Fernhaltung des Beschwerdeführers gegeben. Die Schweiz hat im Anwendungsbereich des Schengen-Rechts nicht nur eigene Interessen zu wahren, sondern ist als Folge des Grundsatzes der loyalen Zusammenarbeit bei der Administration des gemeinsamen Raums der Freiheit, der Sicherheit und des Rechts, auf dem das Schengen-System beruht, zur Wahrung der Interessen der Gesamtheit der Schengen-Staaten verpflichtet (BVGE 2011/48 E. 6.1). Die Ausschreibung des Beschwerdeführers im SIS ist gestützt auf Art. 21 und 24 der SIS-II-VO und Art. 21 der N-SIS-Verordnung zu bestätigen.</w:t>
      </w:r>
    </w:p>
    <w:p>
      <w:r>
        <w:rPr>
          <w:b/>
        </w:rPr>
        <w:t>E. 9</w:t>
      </w:r>
    </w:p>
    <w:p>
      <w:r>
        <w:t>Zusammenfassend ergibt sich, dass weder das auf drei Jahre befristete Einreiseverbot noch dessen Ausschreibung im SIS Bundesrecht verletzt (Art. 49 VwVG). Die Beschwerde ist daher abzuweisen, soweit sie nicht durch die Wiedererwägung der Vorinstanz gegenstandslos geworden ist.</w:t>
      </w:r>
    </w:p>
    <w:p>
      <w:r>
        <w:rPr>
          <w:b/>
        </w:rPr>
        <w:t>E. 10.1</w:t>
      </w:r>
    </w:p>
    <w:p>
      <w:r>
        <w:t>Bei diesem Verfahrensausgang wären die reduzierten Verfahrenskosten dem Beschwerdeführer aufzuerlegen (Art. 63 Abs. 1 VwVG sowie Art. 1 ff. des Reglements vom 21. Februar 2008 über die Kosten und Entschädigungen vor dem Bundesverwaltungsgericht [VGKE, SR 173.320.2]). Gleichzeitig mit der Rechtsmitteleingabe vom 24. Oktober 2022 ersuchte er jedoch um Gewährung der unentgeltlichen Rechtspflege im Sinne von Art. 65 Abs. 1 VwVG. In der Zwischenverfügung vom 1. November 2022 wurde der Entscheid darüber auf einen späteren Zeitpunkt verschoben, weshalb dies nun nachzuholen ist.</w:t>
      </w:r>
    </w:p>
    <w:p>
      <w:r>
        <w:rPr>
          <w:b/>
        </w:rPr>
        <w:t>E. 10.2</w:t>
      </w:r>
    </w:p>
    <w:p>
      <w:r>
        <w:t>Gemäss Art. 65 Abs. 1 VwVG kann eine Partei, die nicht über die erforderlichen Mittel verfügt und deren Begehren nicht als aussichtslos erscheinen, auf Gesuch hin von der Bezahlung von Verfahrenskosten befreit werden. Eine Person gilt als bedürftig, wenn sie nicht in der Lage ist, für die Prozesskosten aufzukommen, ohne dass sie Mittel beanspruchen müsste, die zur Deckung des Grundbedarfs notwendig sind (BGE 144 III 531 E. 4.1; 128 I 225 E. 2.5.1). Eine Beschwerde ist aussichtslos, wenn die Gewinnaussichten beträchtlich geringer sind als die Verlustgefahren und deshalb kaum als ernsthaft bezeichnet werden können (BGE 140 V 521 E. 9.1).</w:t>
      </w:r>
    </w:p>
    <w:p>
      <w:r>
        <w:rPr>
          <w:b/>
        </w:rPr>
        <w:t>E. 10.3</w:t>
      </w:r>
    </w:p>
    <w:p>
      <w:r>
        <w:t>Da die vorliegende Beschwerde nicht als aussichtslos zu bezeichnen ist und von der prozessualen Bedürftigkeit des Beschwerdeführers auszugehen ist, ist das Gesuch um unentgeltliche Prozessführung gutzuheissen und Rechtsanwalt lic. iur. Thomas Plüss als amtlicher Anwalt einzusetzen.</w:t>
      </w:r>
    </w:p>
    <w:p>
      <w:r>
        <w:rPr>
          <w:b/>
        </w:rPr>
        <w:t>E. 10.4</w:t>
      </w:r>
    </w:p>
    <w:p>
      <w:r>
        <w:t>Der Beschwerdeführer hat aufgrund der teilweisen Wiedererwägung durch die Vorinstanz zum Teil obsiegt. Als teilweise obsiegende Partei ist ihm zu Lasten der Vorinstanz eine auf den Umfang des Obsiegens (2/5) gekürzte Parteientschädigung zuzusprechen (Art. 64 Abs. 1 und 2 VwVG, Art. 7 Abs. 2 VGKE). Deren Höhe ist mit Blick auf den aktenkundigen Aufwand und die Komplexität des Falles sowie in Anwendung der gesetzlichen Bemessungskriterien von Art. 8 ff. VGKE auf Fr. 500.- festzusetzen. Das Honorar, welches zu Lasten des Gerichts geht, bemisst sich dementsprechend auf Fr. 750.- (3/5). Gelangt der Beschwerdeführer später zu hinreichenden Mitteln, so hat er dem Gericht das amtliche Honorar zu vergüten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