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F-4818/2016 vom 18. September 2018</w:t>
      </w:r>
    </w:p>
    <w:p>
      <w:r>
        <w:t>Bundesverwaltungsgericht, 2018-09-18, DE</w:t>
      </w:r>
    </w:p>
    <w:p>
      <w:r>
        <w:rPr>
          <w:b/>
        </w:rPr>
        <w:t xml:space="preserve">Quelle: </w:t>
      </w:r>
      <w:r>
        <w:t>https://mcp.opencaselaw.ch/entscheid/bvger_F-4818_2016</w:t>
      </w:r>
    </w:p>
    <w:p>
      <w:r>
        <w:t>FR: TAF F-4818/2016 du 18 septembre 2018</w:t>
      </w:r>
    </w:p>
    <w:p>
      <w:r>
        <w:t>IT: TAF F-4818/2016 del 18 settembre 2018</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Vorweg ist auf die Rüge des Beschwerdeführers einzugehen, die Vorinstanz habe seinen Anspruch auf rechtliches Gehör sowie die Begründungspflicht verletzt, indem sie sich mit der Beschränkung seines Familienlebens nur in sehr rudimentärer und unzureichender Weise auseinandergesetzt und keine sachgerechte Interessenabwägung vorgenommen habe. Sie sei ihrer Begründungspflicht auch deshalb nicht nachgekommen, weil sie nicht ausgeführt habe, inwiefern er (der Beschwerdeführer) eine schwerwiegende Gefahr für die öffentliche Sicherheit und Ordnung darstelle, welche ein mehr als fünf Jahre dauerndes Einreiseverbot rechtfertigen könne.</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die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N 629 ff.; Lorenz Kneubühler, Die Begründungspflicht, 1998, S. 26 ff. u. S. 178 ff.).</w:t>
      </w:r>
    </w:p>
    <w:p>
      <w:r>
        <w:rPr>
          <w:b/>
        </w:rPr>
        <w:t>E. 3.3</w:t>
      </w:r>
    </w:p>
    <w:p>
      <w:r>
        <w:t>Das Bundesverwaltungsgericht hat verschiedentlich darauf hingewiesen, dass das SEM bei einem Einreiseverbot von mehr als fünf Jahren Dauer eine Gefährdungsprognose zu erstellen und nachvollziehbar darzulegen hat, weshalb von einer aktuellen und schwerwiegenden Gefahr auszugehen ist (vgl. Urteil des BVGer C-4898/2012 vom 1. Mai 2014 E. 3.3; vgl. auch Kilian Meyer, Anforderungen an die erstinstanzliche Begründung von Einreiseverboten, in: dRSK, publiziert am 9. Juli 2015). Dieser Verpflichtung ist die Vorinstanz in ihrem ausführlich begründeten Entscheid nachgekommen. Dabei verwies sie in erster Linie auf das Urteil des Regionalgerichts Bern-Mittelland vom 19. Mai 2011, das den Beschwerdeführer wegen versuchter eventualvorsätzlicher Tötung zu einer vierjährigen Freiheitsstrafe verurteilt hatte, welche zugunsten einer stationären Suchtbehandlung aufgeschoben wurde (vgl. Bst. B. des Sachverhalts). Da die Vorinstanz zudem unter Hinweis auf die entsprechende Rechtsprechung den strengen Beurteilungsmassstab bei Gewaltdelikten kurz skizzierte, war es für den Beschwerdeführer ohne weiteres erkennbar, aus welchen Gründen von einer qualifizierten Gefährdung nach Art. 67 Abs. 3 zweiter Satz AuG ausgegangen wurde. Schliesslich machte das SEM ausreichend klar, dass und aus welchen Gründen die vom Beschwerdeführer vorgebrachten privaten Interessen gegenüber dem öffentlichen Interesse an seiner Fernhaltung zurückzustehen haben. Dies gilt umso mehr, als das Bundesgericht kurz zuvor im ausländerrechtlichen Verfahren auf Widerruf der Niederlassungsbewilligung eine eng verwandte und sehr ausführliche Güterabwägung vorgenommen hatte, und dem Beschwerdeführer daher klar sein musste, warum die Vorinstanz seinen Argumenten keine entscheidende Bedeutung beimass, zumal er damals wie heute durch denselben Rechtsanwalt vertreten wird (vgl. dazu Urteil des BVGer F-6623/2016 vom 22. März 2018 E. 3.3 m.H.). Seine Rügen sind daher als unbegründet zurückzuweisen.</w:t>
      </w:r>
    </w:p>
    <w:p>
      <w:r>
        <w:rPr>
          <w:b/>
        </w:rPr>
        <w:t>E. 4</w:t>
      </w:r>
    </w:p>
    <w:p>
      <w:r>
        <w:t>Der Beschwerdeführer besitzt neben der tunesischen auch die französische Staatsbürgerschaft und ist damit Angehöriger einer Vertragspartei des FZA. Gemäss Art. 2 Abs. 2 AuG (SR 142.20) ist daher das ordentliche Ausländerrecht - bestehend aus dem AuG und seinen Ausführungsverordnungen - nur soweit anwendbar, als das FZA keine abweichenden Bestimmungen enthält oder die Bestimmungen des ordentlichen Ausländerrechts günstiger sind.</w:t>
      </w:r>
    </w:p>
    <w:p>
      <w:r>
        <w:rPr>
          <w:b/>
        </w:rPr>
        <w:t>E. 5.1</w:t>
      </w:r>
    </w:p>
    <w:p>
      <w:r>
        <w:t>Landesrechtliche Grundlage der angefochtenen Verfügung bildet Art. 67 AuG, der in den Absätzen 1 und 2 eine Reihe von Tatbeständen vor-sieht, welche ein Einreiseverbot nach sich ziehen oder nach sich ziehen können. Ein solches fällt unter anderem gegen ausländische Personen in Betracht, welche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in einem Grundsatzurteil vom 26. August 2014 (BVGE 2014/20) entschieden, dass Einreiseverbote, die auf der Grundlage von Art. 67 Abs. 1 oder 2 AuG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AuG).</w:t>
      </w:r>
    </w:p>
    <w:p>
      <w:r>
        <w:rPr>
          <w:b/>
        </w:rPr>
        <w:t>E. 5.2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m.H.).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5.3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5.4</w:t>
      </w:r>
    </w:p>
    <w:p>
      <w:r>
        <w:t>Eine schwerwiegende Gefahr für die öffentlich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(vgl. BGE 139 II 121 E. 6.3; Urteil des BGer 2C_270/2015 vom 6. August 2015 E. 4.2; BVGE 2013/4 E. 7.2.4; Urteil des BVGer C-5602/2012 vom 16. Januar 2015 E. 6.1 m.H.).</w:t>
      </w:r>
    </w:p>
    <w:p>
      <w:r>
        <w:rPr>
          <w:b/>
        </w:rPr>
        <w:t>E. 6.1</w:t>
      </w:r>
    </w:p>
    <w:p>
      <w:r>
        <w:t>Im Anwendungsbereich des Freizügigkeitsabkommens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Im Interesse einer einheitlichen Auslegung und Anwendung des Ordre-Public-Vorbehaltes auf der Grundlage des Gemeinschaftsrechts der Europäischen Union (EU) verweist das Freizügigkeitsabkommen auf die Richtlinien 64/221/EWG, 72/194/EWG und 75/35/EWG in ihrer Fassung zum Zeitpunkt der Unterzeichnung (Art. 16 Abs. 1 FZA in Verbindung mit Art. 5 Abs. 2 Anhang I FZA) und auf die vor diesem Zeitpunkt bestandene, einschlägige Rechtsprechung des Gerichtshofs der Europäischen Gemeinschaften (Gerichthof, EuGH) (Art. 16 Abs. 2 FZA). In diesem Sinne schränkt das Freizügigkeitsabkommen die ausländerrechtlichen Befugnisse nationaler Behörden bei der Handhabung landesrechtlicher Massnahmen wie des Einreiseverbots ein.</w:t>
      </w:r>
    </w:p>
    <w:p>
      <w:r>
        <w:rPr>
          <w:b/>
        </w:rPr>
        <w:t>E. 6.2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 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 m.H.).</w:t>
      </w:r>
    </w:p>
    <w:p>
      <w:r>
        <w:rPr>
          <w:b/>
        </w:rPr>
        <w:t>E. 6.3</w:t>
      </w:r>
    </w:p>
    <w:p>
      <w:r>
        <w:t>Innerhalb der vom Gemeinschaftsrecht gezogenen Grenzen sind die Vertragsstaaten grundsätzlich frei festzulegen, welche Verhaltensweisen sie als Störung ihrer Grundinteressen betrachten. Eine solche gemeinschaftsrechtliche Schranke erblickt der Gerichtshof im primärrechtlichen Verbot der Diskriminierung aufgrund der Staatsangehörigkeit (heute: Art. 18 Vertrag über die Arbeitsweise der Europäischen Union; vgl. die analoge Bestimmung des Art. 2 FZA). Ein Mitgliedstaat kann daher das Verhalten des Staatsangehörigen eines anderen Mitgliedstaates nicht als hinreichend schwerwiegend betrachten, wenn er gegenüber dem gleichen Verhalten eigener Staatsangehöriger keine Zwangs- oder andere tatsächliche und effektive Massnahmen zur Bekämpfung dieses Verhaltens ergreift (Urteile des EuGH vom 18. Mai 1989, Kommission/Deutschland, 249/86, Slg. 1989 1263, EU:C:1989:204, Rn. 19, und vom 18. Mai 1982, Adoui und Cornuaille, 115/81 und 116/81, Slg. 1982 1665, EU:C:1982:183, Rn. 8). Ansonsten kann auch einfacher Konsum von Betäubungsmitteln eine Gefährdung darstellen, die besondere Massnahmen zum Schutz der öffentlichen Sicherheit und Ordnung gegen Angehörige anderer Mitgliedstaaten rechtfertigen kann (Urteil des EuGH vom 19. Januar 1999, Calfa, C-348/96, Slg. 1999 I-11, EU:C:1999:6, Rn. 22).</w:t>
      </w:r>
    </w:p>
    <w:p>
      <w:r>
        <w:rPr>
          <w:b/>
        </w:rPr>
        <w:t>E. 6.4</w:t>
      </w:r>
    </w:p>
    <w:p>
      <w:r>
        <w:t>Art. 67 Abs. 3 AuG gilt auch im Anwendungsbereich des Freizügigkeitsabkommens: Die Dauer der Fernhaltemassnahme gegen eine aus dem FZA berechtigte ausländische Person darf daher fünf Jahre nicht überschreiten, es sei denn, es liegt eine schwerwiegende Gefahr für die öffentliche Sicherheit und Ordnung vor. Die Anforderungen an eine solche qualifizierte Gefährdungslage sind enger gefasst als diejenigen des Art. 5 Anhang I FZA und zugleich unabhängig davon, ob das FZA zur Anwendung gelangt oder nicht. Besteht daher eine schwerwiegende Gefahr für die öffentliche Sicherheit und Ordnung im Sinne des Art. 67 Abs. 3 zweiter Satz AuG, besteht keine Beschränkung des Einreiseverbots auf fünf Jahre, gleichgültig ob die betroffene ausländische Person aus dem FZA berechtigt ist oder nicht (BGE 139 II 121 E. 5.1 - E. 5.4 m.H.; Urteil des BGer 2C_270/2015 vom 6. August 2015 E. 4.1 m.H.).</w:t>
      </w:r>
    </w:p>
    <w:p>
      <w:r>
        <w:rPr>
          <w:b/>
        </w:rPr>
        <w:t>E. 7.1</w:t>
      </w:r>
    </w:p>
    <w:p>
      <w:r>
        <w:t>Nachdem der Beschwerdeführer bereits früher wegen Tätlichkeiten und Sachbeschädigung strafrechtlich in Erscheinung getreten war, verurteilte ihn das Regionalgericht Bern-Mittelland am 19. Mai 2011 wegen versuchter eventualvorsätzlicher Tötung zu einer Freiheitsstrafe von vier Jahren, wobei diese zu Gunsten einer stationären Suchtbehandlung im Sinne von Art. 60 StGB aufgeschoben wurde. Dem Beschwerdeführer war dabei vom Strafgericht vorgeworfen worden, am 26. Januar 2010 - nach einem verbalen Streit und kleineren Handgreiflichkeiten mit einem Bekannten in einer Bar in Bern-Bümpliz - seinem Widersacher nach Verlassen des Lokals mit voller Wucht ein Taschenmesser in den Bauch gestossen und daraufhin dem in die Knie gesungenen Opfer mit dem Messer "wie von Sinnen" weitere Stiche und Verletzungen im Kopfbereich zugefügt zu haben. Zwar konnte dem Beschwerdeführer ein direkter Tötungsvorsatz nicht nachgewiesen werden, weshalb das Regionalgericht das Geschehen als versuchte eventualvorsätzliche Tötung würdigte. Es wurde ihm jedoch vorgeworfen, dass er mit der Möglichkeit eines tödlichen Ausgangs rechnen musste und den Tod seines Kontrahenten billigend in Kauf nahm. Trotz der damals vorliegenden Alkoholintoxikation und den mit langjährigem Alkoholmissbrauch verbundenen Folgeerkrankungen wertete das Strafgericht das Tatverschulden des Beschwerdeführers als mittelschwer.</w:t>
      </w:r>
    </w:p>
    <w:p>
      <w:r>
        <w:rPr>
          <w:b/>
        </w:rPr>
        <w:t>E. 7.2</w:t>
      </w:r>
    </w:p>
    <w:p>
      <w:r>
        <w:t>Der vom Regionalgericht Bern-Mittelland festgestellte Sachverhalt, seine rechtliche Würdigung und die verhängte Freiheitsstrafe von vier Jahren implizieren eine schwere Rechtsverletzung und beträchtliches Verschulden, zumal die Straftat des Beschwerdeführers gegen das Leben als das höchstwertige Rechtsgut überhaupt gerichtet war. Aus spezifisch ausländerrechtlicher Sicht treten weitere Elemente hinzu, die sich zu Lasten des Beschwerdeführers auswirken: Dass es beim Versuch der vorsätzlichen Tötung blieb, mag zwar zu einer erheblichen Reduktion der strafrechtlichen Sanktion geführt haben. Unter dem Gesichtspunkt der Gefahrenabwehr ist dieser Umstand jedoch, entgegen der Auffassung des Rechtsvertreters, nicht von Belang, solange der Erfolg - wie im vorliegenden Fall geschehen - durch Umstände verhindert wurde, die sich der Beschwerdeführer nicht als eigenen Verdienst zurechnen kann. Gemäss dem Urteil des Regionalgerichts konnte nämlich der Beschwerdeführer erst durch das Einschreiten einer bei besagtem Vorfall ebenfalls verletzten Drittperson daran gehindert werden, seinem Opfer weitere Stichverletzungen zuzufügen, die möglicherweise zu dessen Tod geführt hätten.</w:t>
      </w:r>
    </w:p>
    <w:p>
      <w:r>
        <w:rPr>
          <w:b/>
        </w:rPr>
        <w:t>E. 7.3</w:t>
      </w:r>
    </w:p>
    <w:p>
      <w:r>
        <w:t>Angesichts der dargelegten Umstände besteht für das Bundesverwaltungsgericht kein Zweifel daran, dass vom Beschwerdeführer zum Zeitpunkt seiner Festnahme eine gegenwärtige, tatsächliche und hinreichend schwere Gefahr für die öffentliche Sicherheit und Ordnung ausging, die im Lichte von Art. 5 Abs. 1 Anhang I FZA geeignet war, ein Einreiseverbot zu rechtfertigen. Damit ist zugleich gesagt, dass die weniger restriktiven Anforderungen des Landesrechts an ein Einreiseverbot, wie sie in Art. 67 Abs. 2 AuG niedergelegt sind, ebenfalls erfüllt waren. Des Weiteren ist das Bundesverwaltungsgericht davon überzeugt, dass die vom Beschwerdeführer ausgehende Gefahr für die öffentliche Sicherheit und Ordnung angesichts seines Vorlebens, der Natur des Deliktes sowie der Art und Weise seiner Begehung im Sinne von Art. 67 Abs. 3 zweiter Satz AuG qualifiziert war. Es ist in diesem Zusammenhang darauf hinzuweisen, dass sich die vom Beschwerdeführer begangene Tathandlung gegen das Leben als das höchstwertigste Rechtsgut überhaupt richtete und zu den Anlasstaten gehört, die vom Verfassungsgeber als besonders verwerflich betrachtet werden und zum Verlust eines jeden Aufenthaltsrechts sowie zu einem obligatorischen Einreiseverbot von 5 bis 15 Jahren Dauer führen soll (Art. 121 Abs. 3 Bst. b und Abs. 4 BV; vgl. auch Art. 66a Abs. 1 Bst. a StGB, der in Konkretisierung der genannten Verfassungsbestimmung auf den 1.Oktober 2016 in Kraft gesetzt wurde). Dieser Wertung ist in den Schranken des übrigen Verfassungs- und des Völkerrechts Rechnung zu tragen (vgl. Urteil des BGer 2C_861/2016 vom 21. Dezember 2016 E. 2.2.2 m. H.). Nach dem Gesagten ist fraglos von einer qualifizierten Gefährdungslage im Sinne von Art. 67 Abs. 3 zweiter Satz AuG auszugehen.</w:t>
      </w:r>
    </w:p>
    <w:p>
      <w:r>
        <w:rPr>
          <w:b/>
        </w:rPr>
        <w:t>E. 7.4</w:t>
      </w:r>
    </w:p>
    <w:p>
      <w:r>
        <w:t>Vom 26. Januar 2010 an befand sich der Beschwerdeführer zunächst in Untersuchungs- beziehungsweise Sicherheitshaft, bevor er am 26. Oktober 2011 vorzeitig die stationäre Suchtbehandlung antrat und am 31. Oktober 2013 unter diversen Auflagen bedingt aus dem stationären Vollzug der Massnahme entlassen wurde. So zeigte sein Verhalten schon während des Massnahmevollzugs, dass unabhängig von seiner Alkoholabhängigkeit ungünstige gewaltfördernde Persönlichkeitsmerkmale und psychische Probleme bestehen, kam es doch wiederholt zu verbalen Angriffen auf Personen, zu Handgreiflichkeiten sowie Sachbeschädigungen. Auch aus dem jüngsten Bericht seines Psychiaters vom 24. Februar 2015 geht hervor, dass die ungünstige Prognose indes schwergewichtig auf seinen gewaltfördernden Persönlichkeitsmerkmalen basiert, die durch Alkoholkonsum zwar akzentuiert, jedoch selbst durch völlige Alkoholabstinenz nicht gänzlich eliminiert werden, was denn auch vom Rechtsvertreter nicht in Abrede gestellt wird (vgl. zum Ganzen: Urteil des Verwaltungsgerichts des Kantons Bern vom 29. Juni 2015 E. 7.4). Doch selbst wenn sich der Beschwerdeführer während des Massnahmevollzugs tadellos verhalten hätte, könnte er daraus nichts Besonderes zu seinen Gunsten ableiten. Denn im ausländerrechtlichen Administrativverfahren kommt weder dem Wohlverhalten während einer eng überwachten stationären Massnahme noch der bedingten Entlassung aus dieser eine ausschlaggebende Bedeutung zu (vgl. dazu eingehend BGE 137 II 233 E. 5.2.2 m.H.). Nach dem Gesagten kann demnach nicht davon ausgegangen werden, die beim Beschwerdeführer zuvor bejahte qualifizierte Gefährdung der öffentlichen Sicherheit und Ordnung sei weggefallen. Als Zwischenergebnis ist festzuhalten, dass im Falle des Beschwerdeführers nicht nur der Fernhaltegrund einer Gefährdung der öffentlichen Sicherheit und Ordnung im Sinne von Art. 67 Abs. 2 Bst. a zweiter Halbsatz AuG vorliegt, der nach Massgabe von Art. 5 Abs. 1 Anhang I FZA grundsätzlich geeignet ist, ein Einreiseverbot gegen eine aus dem FZA berechtigte ausländische Person zu rechtfertigen. Vom Beschwerdeführer geht darüber hinaus auch zum heutigen Zeitpunkt noch eine schwerwiegende Gefahr für die öffentliche Sicherheit und Ordnung im Sinne von Art. 67 Abs. 3 zweiter Satz AuG aus. Das gegen ihn verhängte Einreiseverbot darf daher ohne Verletzung von Art. 67 Abs. 3 erster Satz AuG die Regelmaximaldauer von fünf Jahren übersteigen.</w:t>
      </w:r>
    </w:p>
    <w:p>
      <w:r>
        <w:rPr>
          <w:b/>
        </w:rPr>
        <w:t>E. 8.1</w:t>
      </w:r>
    </w:p>
    <w:p>
      <w:r>
        <w:t>Den Entscheid darüber, ob ein Einreiseverbot anzuordnen und wie es zeitlich auszugestalten ist, legen Art. 67 Abs. 2 und 3 AuG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8.2</w:t>
      </w:r>
    </w:p>
    <w:p>
      <w:r>
        <w:t>Vom Beschwerdeführer geht eine schwerwiegende Gefahr für die öffentliche Sicherheit und Ordnung aus. Darauf wurde unter dem Gesichtspunkt der Eingriffsvoraussetzungen ausführlich eingegangen, sodass an dieser Stelle auf Wiederholungen verzichtet werden kann.</w:t>
      </w:r>
    </w:p>
    <w:p>
      <w:r>
        <w:rPr>
          <w:b/>
        </w:rPr>
        <w:t>E. 8.3</w:t>
      </w:r>
    </w:p>
    <w:p>
      <w:r>
        <w:t>Dem öffentlichen Fernhalteinteresse gegenüber beruft sich der Beschwerdeführer auf wesentliche Lebensinteressen in der Schweiz. Zum einen verweist er auf seinen langjährigen Aufenthalt in der Schweiz, wo er seit dem Jahr 1997 ununterbrochen gelebt habe. Zum anderen beruft er sich auf sein unter den Schutz von Art. 8 EMRK fallendes Familienleben. Seine Familienangehörigen seien allesamt Schweizer Bürger und hätten ihren Lebensmittelpunkt in der Schweiz. Insbesondere seiner minderjährigen Tochter könne mangels Französischkenntnissen nicht zugemutet werden, ihm nach Frankreich zu folgen.</w:t>
      </w:r>
    </w:p>
    <w:p>
      <w:r>
        <w:rPr>
          <w:b/>
        </w:rPr>
        <w:t>E. 8.4</w:t>
      </w:r>
    </w:p>
    <w:p>
      <w:r>
        <w:t>Vorweg ist festzuhalten, dass Einschränkungen des Privat- und Familienlebens aufgrund sachlicher und funktioneller Unzuständigkeit des Bundesverwaltungsgerichts nicht Verfahrensgegenstand sein können, soweit sie auf das Fehlen eines dauerhaften Aufenthaltsrechts in der Schweiz zurückzuführen sind. Denn die Niederlassungsbewilligung wurde dem Beschwerdeführer als Folge seiner Straftaten rechtskräftig entzogen, und er musste die Schweiz in Nachachtung der gleichzeitig angeordneten Wegweisung verlassen. Eine erneute Wohnsitznahme in der Schweiz wie auch die Pflege regelmässiger Kontakte zu in der Schweiz wohnhaften Personen scheitert daher bereits am fehlenden Aufenthaltsrecht hierzulande. Eine allfällige neue Bewilligung im Rahmen des Familiennachzugs ist aber nicht Gegenstand dieses Verfahrens. Hierfür ist der Kanton zuständig, wobei das Einreiseverbot im Falle einer Bewilligungserteilung aufzuheben wäre (vgl. BVGE 2013/4 E. 7.4.1 m.H.).</w:t>
      </w:r>
    </w:p>
    <w:p>
      <w:r>
        <w:rPr>
          <w:b/>
        </w:rPr>
        <w:t>E. 8.5</w:t>
      </w:r>
    </w:p>
    <w:p>
      <w:r>
        <w:t>Nach dem Gesagten stellt sich im Folgenden einzig die Frage, ob die über die Verweigerung des Aufenthaltsrechts hinausgehende, durch das Einreiseverbot zusätzlich bewirkte Beeinträchtigung des Familien- und Privatlebens einer rechtlichen Prüfung standhält. Als ausländische Person ohne Aufenthaltsbewilligung dürfte sich der Beschwerdeführer ohne Einreiseverbot nur im Rahmen von bewilligungsfreien Kurzaufenthalten in der Schweiz aufhalten. Der mit dem Einreiseverbot verbundene zusätzliche Malus besteht nicht darin, dass dem Beschwerdeführer jede Einreise in die Schweiz schlichtweg untersagt ist, sondern darin, dass der Beschwerdeführer für bewilligungsfreie Kurzaufenthalte eine Suspension des Einreiseverbots einholen muss. Eine solche Suspension kann auf Gesuch hin für kurze, klar begrenzte Zeit ausnahmsweise gewährt werden, wenn wichtige Gründe vorliegen (Art. 67 Abs. 5 AuG). In diesem - wenn auch stark eingeschränkten - Rahmen hat der Beschwerdeführer grundsätzlich weiterhin die Möglichkeit, Beziehungen zu Personen in der Schweiz auf schweizerischem Hoheitsgebiet zu pflegen. Von dieser Möglichkeit hat der Beschwerdeführer in der Vergangenheit denn auch wiederholt Gebrauch machen können. Sodann kann dessen Familie ihn ohne weiteres im Nachbarland Frankreich besuchen. Ferner stehen ihm in seinem Aufenthaltsstaat diverse Kommunikationsmittel - wie etwa Briefverkehr, Videotelefonie, Telefonate - zur Verfügung, um mit seinen Kindern und der Ehefrau in Kontakt zu treten (vgl. statt vieler BVGE 2013/4 E. 7.4.3).</w:t>
      </w:r>
    </w:p>
    <w:p>
      <w:r>
        <w:rPr>
          <w:b/>
        </w:rPr>
        <w:t>E. 8.6</w:t>
      </w:r>
    </w:p>
    <w:p>
      <w:r>
        <w:t>Eine wertende Gewichtung der sich entgegenstehenden Interessen führt damit zum Schluss, dass das auf zehn Jahre befristete Einreiseverbot auch unter Berücksichtigung der gängigen Praxis in vergleichbaren Fällen eine verhältnismässige und angemessene Massnahme zum Schutz der öffentlichen Sicherheit und Ordnung darstellt. Für eine Befristung des Einreiseverbots auf zwei beziehungsweise fünf Jahre, wie eventualiter beantragt, bleibt vorliegend kein Raum.</w:t>
      </w:r>
    </w:p>
    <w:p>
      <w:r>
        <w:rPr>
          <w:b/>
        </w:rPr>
        <w:t>E. 9</w:t>
      </w:r>
    </w:p>
    <w:p>
      <w:r>
        <w:t>Aus diesen Erwägungen ergibt sich, dass die angefochtene Verfügung im Lichte von Art. 49 VwVG nicht zu beanstanden ist. Die Beschwerde ist somit abzuweisen.</w:t>
      </w:r>
    </w:p>
    <w:p>
      <w:r>
        <w:rPr>
          <w:b/>
        </w:rPr>
        <w:t>E. 10</w:t>
      </w:r>
    </w:p>
    <w:p>
      <w:r>
        <w:t>Entsprechend dem Ausgang des Verfahrens sind dem Beschwerdeführer die Kosten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