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F-4816/2023 vom 21. September 2023</w:t>
      </w:r>
    </w:p>
    <w:p>
      <w:r>
        <w:t>Bundesverwaltungsgericht, 2023-09-21, DE</w:t>
      </w:r>
    </w:p>
    <w:p>
      <w:r>
        <w:rPr>
          <w:b/>
        </w:rPr>
        <w:t xml:space="preserve">Quelle: </w:t>
      </w:r>
      <w:r>
        <w:t>https://mcp.opencaselaw.ch/entscheid/bvger_F-4816_2023</w:t>
      </w:r>
    </w:p>
    <w:p>
      <w:r>
        <w:t>FR: TAF F-4816/2023 du 21 septembre 2023</w:t>
      </w:r>
    </w:p>
    <w:p>
      <w:r>
        <w:t>IT: TAF F-4816/2023 del 21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Nachdem der Beschwerdeführer seinen Rückweisungsantrag auch nicht ansatzweise begründet und sich im Übrigen aus den Akten keinerlei Hinweise auf Verfahrensfehler ergeben, besteht kein Anlass für die Rückweisung der Sache an die Vorinstanz. Das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Den Akten zufolge stellte der Beschwerdeführer am (...) in Kroatien ein Asylgesuch und wurde dort gleichentags daktyloskopiert (EURODAC-Abgleich vom 20. Juli 2023; vgl. Sachverhalt Bst. A.a). Daran vermag sein Hinweis, er habe kein Asylgesuch gestellt und die Fingerabdrücke seien ihm zwangsweise abgenommen worden, nichts zu ändern (vgl. SEM act. 1266044-16/3 [nachfolgend: act. 16] S. 1 f.). Die kroatischen Behörden stimmten dem Wiederaufnahmeersuchen des SEM vom 21. Juli 2023 innert der massgeblichen Frist denn auch ausdrücklich zu. Damit sind sowohl die Antragsstellung in Kroatien als auch der Umstand als erstellt zu erachten, dass das kroatische Verfahren zur Bestimmung des für das Asylgesuch des Beschwerdeführers zuständigen Mitgliedstaates gemäss Art. 20 Abs. 5 Dublin-III-VO noch nicht abgeschlossen wurde und nach seiner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S. 3)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belegten Ausführungen des Beschwerdeführers zu erlebter Gewalt und schlechter Behandlung in Kroatien im Zusammenhang mit seiner illegalen Einreise (vgl. SEM act. 16 S. 1 f.) sind nicht geeignet, die Annahme zu widerlegen, wonach Kroatien seinen völkerrechtlichen Verpflichtungen im Rahmen eines Asylverfahrens nachkommt (vgl. Referenzurteil E-1488/2020 E. 8 und E. 9.5). Gegen das Fehlverhalten von einzelnen Beamten oder Zivilpersonen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w:t>
      </w:r>
    </w:p>
    <w:p>
      <w:r>
        <w:t>Betreffend den Gesundheitszustand lässt sich den vorinstanzlichen Akten einzig entnehmen, dass es dem Beschwerdeführer seinen Angaben zufolge im Allgemeinen gut gehe, er sich aber Sorgen mache angesichts einer möglichen Überstellung nach Kroatien. Weiter habe er in seiner Heimat eine (Nennung Verletzung) erlitten, welche jedoch vor seiner Ausreise verheilt sei. Zudem sei er in Kroatien von einer Person mit einem Autoschlüssel angegriffen und am (Nennung Körperteil) verletzt worden. Betreffend die (Nennung Verletzung) hat der Beschwerdeführer keinerlei Unterlagen eingereicht und es sind den Akten keine Hinweise dafür zu entnehmen, dass er sich deswegen beim medizinischen Personal gemeldet hätte. In der Beschwerdeschrift wird sein Gesundheitszustand denn auch mit keinem Wort thematisiert. Allfällige gesundheitliche Beeinträchtigungen des Beschwerdeführers sind daher nicht derart gravierend, dass in Anwendung von Art. 3 EMRK von einer Überstellung nach Kroatien abgesehen werden müsste (vgl. Urteil des EGMR Paposhvili gegen Belgien vom 13. Dezember 2016, Grosse Kammer, 41738/10, §§ 180-193 m.w.H.). Das Land verfügt grundsätzlich über eine ausreichende, hinreichend zugängliche medizinische Infrastruktur (vgl. Referenzurteil E-1488/2020 E. 10.2 und E. 10.3), weshalb der Beschwerdeführer eine allenfalls von ihm benötigte medizinische wie auch psychologische Behandlung dort erhalten kann (vgl. statt vieler: Urteil des BVGer F-1176/2023 vom 10. März 2023 E. 5.1 m.w.H.). Insgesamt droht keine Verletzung von Art. 3 EMRK, weshalb die Schweiz nicht zum Selbsteintritt nach Art. 17 Abs. 1 Dublin-III-VO verpflichtet ist.</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ist das Gesuch um Verzicht auf die Erhebung eines Kostenvorschusses gegenstandslos geworden. Der am 11. September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