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F-4798/2023 vom 13. September 2023</w:t>
      </w:r>
    </w:p>
    <w:p>
      <w:r>
        <w:t>Bundesverwaltungsgericht, 2023-09-13, FR</w:t>
      </w:r>
    </w:p>
    <w:p>
      <w:r>
        <w:rPr>
          <w:b/>
        </w:rPr>
        <w:t xml:space="preserve">Quelle: </w:t>
      </w:r>
      <w:r>
        <w:t>https://mcp.opencaselaw.ch/entscheid/bvger_F-4798_2023</w:t>
      </w:r>
    </w:p>
    <w:p>
      <w:r>
        <w:t>FR: TAF F-4798/2023 du 13 septembre 2023</w:t>
      </w:r>
    </w:p>
    <w:p>
      <w:r>
        <w:t>IT: TAF F-4798/2023 del 13 settembre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recours a été présenté dans la forme et le délai prescrits par la loi, le recourant disposant en outre de la qualité pour recourir ; il est dès lors recevable (art. 48 al. 1 et 52 al. 1 PA [RS 172.021], applicables par renvoi de l'art. 37 LTAF, et art.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il n'y a, en principe, aucun nouvel examen de la compétence selon le chapitre III du règlement Dublin III par les autorités suisses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ont révélé, après consultation de l'unité centrale du système européen « Eurodac », que le recourant avait déposé une demande d'asile en Autriche le 16 juillet 2023 (pce SEM 11). En date du 4 août 2023, le SEM a dès lors soumis aux autorités autrichiennes compétentes, dans le délai fixé à l'art. 23 par. 2 al. 1 du règlement Dublin III, une requête aux fins de reprise en charge, fondée sur l'art. 18 par. 1 let. b du règlement Dublin III (pce SEM 19). Le 18 août 2023, lesdites autorités ont accepté la reprise en charge du recourant, en application de l'art. 18 par. 1 let. b du règlement Dublin III (pce SEM 24). L'Autriche a ainsi valablement reconnu sa compétence pour traiter la demande d'asile de l'intéressé (cf., parmi d'autres, arrêts du TAF F-2689/2023 du 16 juin 2023 consid. 4 et E-4622/2022 du 14 octobre 2022 consid. 5.3). Par conséquent, ce pays est en principe tenu de reprendre en charge le recourant.</w:t>
      </w:r>
    </w:p>
    <w:p>
      <w:r>
        <w:rPr>
          <w:b/>
        </w:rPr>
        <w:t>E. 4.1</w:t>
      </w:r>
    </w:p>
    <w:p>
      <w:r>
        <w:t>Pour s'opposer à son transfert, le recourant se prévaut de la présence en Suisse des membres de sa famille ayant obtenu l'asile en Suisse. Il plaide présenter un lien de dépendance particulier avec ceux-ci, étant donné son vécu traumatique en Turquie et la précarité de son état de santé physique et psychique, et avoir ainsi besoin de leur soutien. Il met en avant qu'en cas de transfert en Autriche - où il ne connaît personne -, il serait non seulement livré à lui-même mais serait également exposé à des personnes malintentionnées à son égard à cause des problèmes que sa famille et lui-même ont eu en Turquie. Le recourant a également souligné que son objectif avait toujours été de venir en Suisse pour rejoindre sa famille malgré le fait que leur demande de regroupement familial ait été refusée.</w:t>
      </w:r>
    </w:p>
    <w:p>
      <w:r>
        <w:rPr>
          <w:b/>
        </w:rPr>
        <w:t>E. 4.2</w:t>
      </w:r>
    </w:p>
    <w:p>
      <w:r>
        <w:t>D'emblée, le Tribunal observe que le règlement Dublin III ne confère pas aux personnes en quête de protection le droit de choisir elles-mêmes l'Etat qui examinera leur demande, pas plus qu'il n'impose aux autorités de donner suite au souhait d'un requérant de voir sa demande d'asile examinée dans l'Etat offrant à son avis les meilleures conditions d'accueil (cf. notamment ATAF 2010/45 consid. 8.3). La volonté du recourant ne saurait donc être déterminante ici. Cela étant, on relèvera que les proches du recourant vivant en Suisse - à savoir ses parents ainsi que ses frères et soeurs mineurs - ne peuvent être considérés comme des « membres de la famille » au sens de l'art. 2 let. g RD III, compte tenu de la majorité de l'intéressé. Plus encore, le lien de dépendance découlant d'un besoin d'assistance entre le recourant et ses parents et frères et soeurs, soulevé dans le recours, n'apparaît pas vraisemblable. En effet, sur le plan affectif, on notera tout d'abord que le recourant a été en mesure de vivre durant plus d'une année en Turquie sans lesdits proches qui sont en Suisse depuis l'été 2022 (cf. pces SEM 23 et 25). Sur le plan médical, la documentation suivante a été versée au dossier : journal de soins du 2 août 2023 (cf. pce SEM 14), rapports médicaux des 4 août 2023 (pce SEM 22) et 4 septembre 2023 (pce SEM 30). Il en ressort que le recourant, sur le plan somatique, s'est plaint de douleurs lombaires, pour lesquelles il a reçu un traitement médicamenteux à base de Dafalgan, et faisait état d'une sensation de brûlures au niveau de l'oeil gauche et d'un strabisme nécessitant un rendez-vous ophtalmologique (cf. pce SEM 14 et 22). Il est ressorti de la consultation du 4 août 2023 que les problèmes ophtalmologiques sont présents chez le recourant depuis l'âge de 6 ans qui, ayant perdu la vue des deux yeux suite à des convulsions fébriles, avait pu la retrouver à raison de 15% à l'oeil gauche et 90% à l'oeil droit grâce à une opération ayant eu lieu en 2007 et de multiples traitements (cf. pce SEM 22). Sur le plan psychique, il ressort de la documentation médicale que l'intéressé a consulté le 4 septembre 2023 à raison d'anxiété et de cauchemars imputés à son vécu traumatique en Turquie et à son parcours migratoire et qu'un premier diagnostic de stress post-traumatique et d'épisode dépressif léger à moyen a été posé. Un traitement en la forme de prise de médicaments, à savoir Sertraline, Quetiapine, Redormin, Dafalgan (en réserve), a été prescrit ainsi qu'un suivi thérapeutique en ambulatoire à entreprendre (pce SEM 30). Or, en l'espèce, même si elles ne sauraient d'emblée être minimisées, il n'apparaît pas que le recourant souffrirait d'affections somatiques ou psychologiques telles que seule l'assistance d'un membre de la famille permettrait d'y remédier. Ainsi, la présence d'un lien de dépendance particulier dans le sens de la jurisprudence restrictive rendue en la matière ne peut ainsi être retenue (ATF 144 II 1 consid. 6.1 ; arrêt du TAF F-4726/2020 du 30 septembre 2020 consid. 4.2.1 et les réf. cit. ; cf. également l'art. 16 par. 1 RD III). Aucune violation du RD III ou de l'art. 8 CEDH (RS 0.101) n'est dès lors constatée. Pour le surplus, il ressort de la décision querellée que l'oncle du recourant, avec lequel ce dernier est arrivé en Suisse, fait également l'objet d'un transfert vers l'Autriche de sorte que le recourant pourra compter sur le soutien d'un proche dans ledit pays (cf. pce TAF 1 annexe 1, p. 4 et arrêt F-4532/2023 du 28 août 2023). Le Tribunal rappelle au demeurant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donnée en l'espèce, le dossier ne révélant pas d'affection d'une gravité particulière.</w:t>
      </w:r>
    </w:p>
    <w:p>
      <w:r>
        <w:rPr>
          <w:b/>
        </w:rPr>
        <w:t>E. 4.3</w:t>
      </w:r>
    </w:p>
    <w:p>
      <w:r>
        <w:t>Concernant la crainte du recourant d'avoir affaire à certaines personnes ou familles en Autriche avec lesquelles il serait en conflit depuis 2011, le Tribunal relève également que ce pays est un Etat de droit et que rien ne laisse à penser que les autorités autrichiennes compétentes ne lui offriraient pas une protection adéquate et efficace, au cas où il en ferait la demande. L'intéressé pourra donc sans autre s'adresser, une fois arrivé dans ce pays, aux autorités policières ou judiciaires en cas de besoin.</w:t>
      </w:r>
    </w:p>
    <w:p>
      <w:r>
        <w:rPr>
          <w:b/>
        </w:rPr>
        <w:t>E. 4.4</w:t>
      </w:r>
    </w:p>
    <w:p>
      <w:r>
        <w:t>Il s'ensuit que le transfert du recourant en Autriche n'est pas contraire aux obligations de la Suisse relevant du droit international public et que le SEM a procédé à un examen correct des faits allégués par l'intéressé susceptibles de constituer des « raisons humanitaires » au sens de l'art. 29a al. 3 OA 1.</w:t>
      </w:r>
    </w:p>
    <w:p>
      <w:r>
        <w:rPr>
          <w:b/>
        </w:rPr>
        <w:t>E. 5</w:t>
      </w:r>
    </w:p>
    <w:p>
      <w:r>
        <w:t>L'Autriche demeure dès lors l'Etat responsable de l'examen de la demande d'asile du recourant au sens du RD III. C'est ainsi à juste titre que le SEM n'est pas entré en matière sur celle-ci, en application de l'art. 31a al. 1 let. b LAsi, et a prononcé le transfert de l'intéressé vers l'Autriche,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