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F-4792/2021 vom 30. März 2022</w:t>
      </w:r>
    </w:p>
    <w:p>
      <w:r>
        <w:t>Bundesverwaltungsgericht, 2022-03-30, DE</w:t>
      </w:r>
    </w:p>
    <w:p>
      <w:r>
        <w:rPr>
          <w:b/>
        </w:rPr>
        <w:t xml:space="preserve">Quelle: </w:t>
      </w:r>
      <w:r>
        <w:t>https://mcp.opencaselaw.ch/entscheid/bvger_F-4792_2021</w:t>
      </w:r>
    </w:p>
    <w:p>
      <w:r>
        <w:t>FR: TAF F-4792/2021 du 30 mars 2022</w:t>
      </w:r>
    </w:p>
    <w:p>
      <w:r>
        <w:t>IT: TAF F-4792/2021 del 30 marzo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Als Staatsangehörige von Syrien unterliegen die Gesuchstellenden für die Einreise in die Schweiz der Visumpflicht. Mit ihrem Gesuch beabsichtigen sie einen längerfristigen Aufenthalt, weshalb nicht die Erteilung von Schengen-Visa zu prüfen ist, sondern mit Art. 4 der Verordnung vom 15. August 2018 über die Einreise und die Visumerteilung (VEV, SR 142.204)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Gegensatz zu anderen Personen in derselben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Zur Begründung ihres ablehnenden Entscheids im Zusammenhang mit der Erteilung eines humanitären Visums führte die Vorinstanz aus, die Gesuchstellenden würden sich in der Türkei in einem sicheren Drittstaat aufhalten, wo weder Krieg noch eine Situation landesweiter allgemeiner Gewalt herrsche. Trotz der schwierigen Lebensumstände sei davon auszugehen, dass sie in der Türkei hinreichenden Schutz vor Verfolgung finden würden und sie deshalb nicht unmittelbar und ernsthaft an Leib und Leben gefährdet seien. Ein behördliches Eingreifen sei deshalb nicht zwingend erforderlich. Aus den Akten gehe nicht hervor, inwiefern eine Rückführung nach Syrien drohe. Die Türkei habe das Abkommen über die Rechtsstellung der Flüchtlinge (Flüchtlingskonvention, FK; SR 0.142.30) ratifiziert und sei Mitglied des Exekutivkomitees des UNHCR. In der Türkei gebe es ein funktionierendes Gesundheitssystem und der Gesuchsteller habe in der "F._______" in Istanbul eine MRI-Untersuchung durchführen lassen können. Für eine minimale Unterstützung könnten sich die Gesuchstellenden sodann an das UNHCR, den Türkischen Roten Halbmond, Ärzte ohne Grenzen oder an andere Hilfsorganisationen wenden. Auch eine medizinische Notlage liege nicht vor.</w:t>
      </w:r>
    </w:p>
    <w:p>
      <w:r>
        <w:rPr>
          <w:b/>
        </w:rPr>
        <w:t>E. 4.2</w:t>
      </w:r>
    </w:p>
    <w:p>
      <w:r>
        <w:t>In der Beschwerde wird gerügt, die Vorinstanz habe das vorliegende Visumsgesuch nicht genügend umfassend und sorgfältig geprüft. Zudem habe sie den Grundsatz der Rechtsgleichheit verletzt. Die Vorinstanz habe sich kaum mit der spezifischen Situation der Gesuchstellenden auseinandergesetzt und sich nicht genügend zu den vorgebrachten Argumenten in der Einsprache geäussert. Die Türkei könne im Fall der Gesuchstellenden nicht als sicherer Drittstaat betrachtet werden, denn eine zwangsweise Rückführung in den Heimatstaat oder eine Inhaftierung in der Türkei könne nicht ausgeschlossen werden; es seien mehrere Fälle von Abschiebungen nach Syrien bekannt. Sie seien illegal in die Türkei gereist, um ihren Termin beim Schweizer Generalkonsulat wahrnehmen zu können. Nach der Einreise hätten sie sich der türkischen Grenzwache gestellt und sich als syrische Flüchtlinge registrieren lassen wollen. Sie seien jedoch verhaftet und mit einem Einreiseverbot für die Türkei belegt sowie in den Irak abgeschoben worden. Bei der erneuten Einreise hätten sie sich deshalb nicht mehr registrieren lassen. Die Vorinstanz habe das Einreiseverbot nicht erwähnt. Sie würden sich in der Türkei in einer Notlage befinden und müssten Inhaftierung, Gewalt und Ausschaffung befürchten, weshalb sie unmittelbar an Leib und Leben gefährdet seien. Der Zugang zur Gesundheitsversorgung sei aufgrund des illegalen Aufenthalts und der Angst vor Festnahme und Abschiebung sehr erschwert und deshalb nicht sichergestellt.</w:t>
      </w:r>
    </w:p>
    <w:p>
      <w:r>
        <w:rPr>
          <w:b/>
        </w:rPr>
        <w:t>E. 5.1</w:t>
      </w:r>
    </w:p>
    <w:p>
      <w:r>
        <w:t>Die Vorinstanz ist in ihrer Verfügung zum zutreffenden Ergebnis gelangt, die Gesuchstellenden würden die Voraussetzungen für die Erteilung eines humanitären Visums nicht erfüllen. Die Beschwerdeführenden sind im Dezember 2020 nach Istanbul, Türkei, geflüchtet, wo sie sich seither befinden. Sie halten sich damit in einem sicheren Drittstaat auf, wo weder (Bürger-)Krieg noch eine Situation allgemeiner Gewalt herrscht. Zwar ist das Land von politischen und religiösen Spannungen geprägt, die allgemeine Lage lässt hingegen nicht grundsätzlich auf eine individuelle Gefährdung schliessen. Zur geäusserten Befürchtung, sie würden womöglich zwangsweise nach Syrien rücküberführt, ist festzuhalten, dass die türkischen Behörden seit Beginn des syrischen Bürgerkrieges den grössten Teil der Vertriebenen aufgenommen und während Jahren grundsätzlich darauf verzichtet haben, Betroffene zwangsweise nach Syrien zurückzuschicken (Urteil des BVGer F-4691/2019 vom 18. September 2020 E. 8.2). Die Türkei ist sodann Vertragsstaat der Flüchtlingskonvention. Die Wirtschaftskrise der letzten Jahre wirkte sich zwar negativ auf die gesellschaftliche Akzeptanz der Flüchtlinge aus, was in einer Verschärfung der türkischen Flüchtlingspolitik mündete. Auch sind Fälle von Rückschaffungen syrischer Flüchtlinge aus der Türkei in ihre Heimatländer bekannt (Amnesty International, Länderbericht Türkei 2020/2021; Urteile des BVGer F-6581/2019 vom 10. Dezember 2020 E. 5.2; F-177/2020 vom 15. Juni 2020 E. 5.2). In der Beschwerde werden Fälle syrischer Staatsangehöriger geschildert, die von der Türkei zwangsweise nach Syrien abgeschoben worden sein sollen. Daraus lassen sich allerdings keine konkreten Rückschlüsse auf die Situation der Gesuchstellenden ableiten. Aus den Ausführungen in der Beschwerde ergeben sich jedenfalls keine substantiierten Anhaltspunkte dafür, dass die Gesuchstellenden der Gefahr einer Abschiebung nach Syrien ausgesetzt sein könnten, zumal sie bei den türkischen Behörden nicht registriert sind (Urteil des BVGer F-3210/2020 vom 20. Januar 2021 E. 6.3.1). Dies gilt insbesondere für die unbelegte Behauptung der Gesuchstellenden, wonach die türkischen Behörden ein mündliches Einreiseverbot gegen sie erlassen hätten.</w:t>
      </w:r>
    </w:p>
    <w:p>
      <w:r>
        <w:rPr>
          <w:b/>
        </w:rPr>
        <w:t>E. 5.2</w:t>
      </w:r>
    </w:p>
    <w:p>
      <w:r>
        <w:t>Aus den Akten geht nicht hervor, dass der Gesuchsteller ein schwerwiegendes Gesundheitsproblem hat, das eine besondere Betreuung erfordert, die in der Türkei nicht verfügbar ist und die nur die Schweiz bieten kann. Aufgrund des Arztberichts ist vielmehr davon auszugehen, dass er in der Türkei Zugang zu medizinischer Versorgung hat. Die Notfallversorgung ist in der Türkei sodann auch für nicht registrierte Flüchtlinge gewährleistet. Für eine darüber hinausgehende medizinische Behandlung stehen private Einrichtungen zur Verfügung, für deren Behandlungskosten aber selbst aufgekommen werden muss (Schweizerische Flüchtlingshilfe, Turquie: accès à des soins médicaux et une éducation spécialisée pour les réfugiés syriens, 15. Juli 2020, S. 8).</w:t>
      </w:r>
    </w:p>
    <w:p>
      <w:r>
        <w:rPr>
          <w:b/>
        </w:rPr>
        <w:t>E. 5.3</w:t>
      </w:r>
    </w:p>
    <w:p>
      <w:r>
        <w:t>Eine Gesamtwürdigung der Situation der Gesuchstellenden in der Türkei führt zum Schluss, dass ihre Situation zweifellos schwierig und belastend ist. Eine unmittelbare, ernsthafte und konkrete Gefährdung an Leib und Leben vermag jedoch weder der Gesundheitszustand des Gesuchstellers noch ihre Wohnsituation zu begründen. Auch die vorhandenen Bindungen zur Schweiz vermögen an dieser Einschätzung nichts zu ändern. Die Vorinstanz hat den Sachverhalt richtig und vollständig abgeklärt und ist genügend auf die Ausführungen in der Beschwerde eingegangen. Die Beschwerdeführerin begründete sodann nicht, worin die Verletzung der Rechtsgleichheit liege und eine solche ist auch nicht ersichtlich.</w:t>
      </w:r>
    </w:p>
    <w:p>
      <w:r>
        <w:rPr>
          <w:b/>
        </w:rPr>
        <w:t>E. 6</w:t>
      </w:r>
    </w:p>
    <w:p>
      <w:r>
        <w:t>Zusammenfassend ist festzuhalten, dass die Gesuchstellenden die Voraussetzungen für die Ausstellung eines humanitären Visums für die Einreise in die Schweiz nicht erfüllen. Die angefochtene Verfügung erweist sich im Lichte von Art. 49 VwVG als rechtmässig. Die Beschwerde ist abzuweisen.</w:t>
      </w:r>
    </w:p>
    <w:p>
      <w:r>
        <w:rPr>
          <w:b/>
        </w:rPr>
        <w:t>E. 7.1</w:t>
      </w:r>
    </w:p>
    <w:p>
      <w:r>
        <w:t>Das Gesuch um Gewährung der unentgeltlichen Prozessführung (vgl. Art. 65 Abs. 1 VwVG) ist unbesehen der finanziellen Verhältnisse der Beschwerdeführerin abzuweisen, da die Beschwerde gemäss den vorstehenden Erwägungen als aussichtslos zu bezeichnen ist und es daher an einer gesetzlichen Voraussetzung zu deren Gewährung fehlt.</w:t>
      </w:r>
    </w:p>
    <w:p>
      <w:r>
        <w:rPr>
          <w:b/>
        </w:rPr>
        <w:t>E. 7.2</w:t>
      </w:r>
    </w:p>
    <w:p>
      <w:r>
        <w:t>Bei diesem Ausgang des Verfahrens sind die Verfahrenskosten der Beschwerdeführerin aufzuerlegen und auf Fr. 800.- festzusetzen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