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F-4791/2022 vom 26. Oktober 2022</w:t>
      </w:r>
    </w:p>
    <w:p>
      <w:r>
        <w:t>Bundesverwaltungsgericht, 2022-10-26, DE</w:t>
      </w:r>
    </w:p>
    <w:p>
      <w:r>
        <w:rPr>
          <w:b/>
        </w:rPr>
        <w:t xml:space="preserve">Quelle: </w:t>
      </w:r>
      <w:r>
        <w:t>https://mcp.opencaselaw.ch/entscheid/bvger_F-4791_2022</w:t>
      </w:r>
    </w:p>
    <w:p>
      <w:r>
        <w:t>FR: TAF F-4791/2022 du 26 octobre 2022</w:t>
      </w:r>
    </w:p>
    <w:p>
      <w:r>
        <w:t>IT: TAF F-4791/2022 del 26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Die beantragte Koordinierung der Beschwerdeverfahren der beiden Brüder kann zum heutigen Zeitpunkt nicht mehr erfolgen, da das Urteil in der Sache von B._______ bereits ergangen ist. Aufgrund eines kanzleitechnischen Versehens, mitverursacht durch die Einreichung beider Beschwerden mit der gleichen Sendung ohne Begleitbrief, erfasste das Gericht nur die Beschwerde des jüngeren Bruders (Verfahren F-3872/2022) und ging fälschlicherweise davon aus, dass die vorliegende Beschwerde eine Kopie der Beschwerde von B._______ war. Wie sich aus den nachfolgenden Erwägungen ergibt, hätte allerdings auch eine korrekte Erfassung in materieller Hinsicht zu keinem anderen Verfahrensausgang geführt. Ein Nachteil erwächst dem Beschwerdeführer insofern nicht. Das gerichtliche Versehen ist jedoch bei den Kosten- und Entschädigungsfolgen zu berücksichtigen (vgl. nachstehend E. 12).</w:t>
      </w:r>
    </w:p>
    <w:p>
      <w:r>
        <w:rPr>
          <w:b/>
        </w:rPr>
        <w:t>E. 4</w:t>
      </w:r>
    </w:p>
    <w:p>
      <w:r>
        <w:t>In Bezug auf den Eventualantrag um Rückweisung der Sache zur weiteren Sachverhaltsabklärung, insbesondere zur Ermittlung allfälliger Familienangehöriger des Beschwerdeführers auf dem Hoheitsgebiet der Mitgliedstaaten, ist auf die Ausführungen im Urteil des Bundesverwaltungsgerichts F-3872/2022 vom 11. Oktober 2022 betreffend B._______, E. 5.1, zu verweisen. Der entsprechende Antrag ist vorliegend mit der gleichen Begründung abzuweisen.</w:t>
      </w:r>
    </w:p>
    <w:p>
      <w:r>
        <w:rPr>
          <w:b/>
        </w:rPr>
        <w:t>E. 5</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6.2</w:t>
      </w:r>
    </w:p>
    <w:p>
      <w:r>
        <w:t>Nachdem die österreichischen Behörden innert der in Art. 25 Abs. 1 Dublin-III-VO festgelegten Frist dem Wiederaufnahmegesuch der Vorinstanz für den Beschwerdeführer gestützt auf Art. 18 Abs. 1 Bst. b Dublin-III-VO zugestimmt haben, ist die Zuständigkeit Österreichs grundsätzlich gegeben. Die Zustimmungserklärung der österreichischen Behörden vom 7. Juni 2022 ist als rechtsgültig zu erachten. Das zeitlich gestaffelte Vorgehen der Vorinstanz ist allerdings - wie bereits im den jüngeren Bruder betreffenden Urteil erläutert - als suboptimal einzustufen (vgl. Urteil F-3872/2022 E. 5.4).</w:t>
      </w:r>
    </w:p>
    <w:p>
      <w:r>
        <w:rPr>
          <w:b/>
        </w:rPr>
        <w:t>E. 7</w:t>
      </w:r>
    </w:p>
    <w:p>
      <w:r>
        <w:t>Das Bundesverwaltungsgericht geht in ständiger Rechtsprechung davon aus, dass das Asylverfahren und die Aufnahmebedingungen für asylsuchende Personen in Österreich keine Schwachstellen im Sinne von Art. 3 Abs. 2 Sätze 2 und 3 Dublin-III-VO aufweisen, die eine Gefahr einer unmenschlichen oder entwürdigenden Behandlung im Sinne des Artikels 4 der EU-Grundrechtcharta und Art. 3 EMRK mit sich bringen würden (vgl. Urteil des BVGer E-522/2022 vom 15. Februar 2022 E. 8 m.w.H.). Zudem ist Österreich ein funktionierender Rechtsstaat dessen Behörden grundsätzlich gewillt und fähig sind, staatlichen Schutz zu gewähren. Sollte sich der Beschwerdeführer rechtswidrig behandelt fühlen, kann er sich an die zuständige Behörde wenden. Unter diesen Umständen ist die Anwendung von Art. 3 Abs. 2 Dublin-III-VO nicht gerechtfertigt.</w:t>
      </w:r>
    </w:p>
    <w:p>
      <w:r>
        <w:rPr>
          <w:b/>
        </w:rPr>
        <w:t>E. 8.1</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Art. 29a Abs. 3 der Asylverordnung 1 vom 11. August 1999 [AsylV 1, SR 142.311]; sog. Selbsteintrittsrecht). Liegen individuelle völkerrechtliche Überstellungshindernisse vor, ist der Selbsteintritt zwingend (vgl. BVGE 2015/9 E. 8.2.1).</w:t>
      </w:r>
    </w:p>
    <w:p>
      <w:r>
        <w:rPr>
          <w:b/>
        </w:rPr>
        <w:t>E. 8.2</w:t>
      </w:r>
    </w:p>
    <w:p>
      <w:r>
        <w:t>Für den Selbsteintritt der Schweiz beruft sich der Beschwerdeführer im Wesentlichen auf das Wohl seines minderjährigen Bruders. Das Bundesverwaltungsgericht hat im Urteil F-3872/2022 dargelegt, dass eine gemeinsame Überstellung der Brüder nach Österreich dem Kindswohl im Sinne eines Fortbestehens der Familieneinheit besser entspricht. Darauf kann verwiesen werden (dortige E. 5.3). Der Umstand, dass die vorinstanzliche Verfügung betreffend den Beschwerdeführer vom Gericht fälschlicherweise als bereits rechtskräftig eingestuft wurde, ändert in materieller Hinsicht nichts an dieser Beurteilung. Im Übrigen anerkennen der Beschwerdeführer und sein Bruder selbst, dass das Wohlergehen des minderjährigen B._______ auch in Österreich gesichert ist. Dass dieser in der Schweiz deutlich schneller als in Österreich zu einem materiellen Asylentscheid gelangen würde, bleibt eine unbelegte Behauptung.</w:t>
      </w:r>
    </w:p>
    <w:p>
      <w:r>
        <w:rPr>
          <w:b/>
        </w:rPr>
        <w:t>E. 8.3</w:t>
      </w:r>
    </w:p>
    <w:p>
      <w:r>
        <w:t>Den vorinstanzlichen Akten ist bezüglich des Gesundheitszustands des Beschwerdeführers zu entnehmen, dass er ein bewusstseinsklarer allseitig orientierter Patient in leicht reduziertem Allgemein- und gutem Ernährungszustand sei. Es gebe keine Anhaltspunkte für Auffassungs- und Aufmerksamkeitsstörungen oder Beeinträchtigungen des Gedächtnisses. Im Affekt sei er niedergestimmt, der Antrieb sei vermindert. Es gebe keine Hinweise für wahnhaftes Erleben und inhaltliche Denkstörungen scheinen keine vorhanden zu sein. Er habe Ängste bezüglich Familie und Zukunft, es kämen Flashbacks und Panikattacken vor. Das Durchschlafen bezeichne er als gestört. Von Suizidalität distanziere er sich klar. Gesamthaft gesehen erweist sich der Gesundheitszustand des Beschwerdeführers somit nicht als derart gravierend beeinträchtigt, dass eine Überstellung zusammen mit seinem Bruder nach Österreich die tatsächliche Gefahr einer Verletzung von Art. 3 EMRK mit sich bringen würde (zu den restriktiven Bedingungen für die Anwendung von Art. 3 EMRK siehe BVGE 2011/9 E. 7; Urteil des EGMR Paposhvili gegen Belgien 13. Dezember 2016, Grosse Kammer 41738/10, §§ 180-193 m.H.). Es besteht vorliegend sodann kein Grund zur Annahme, die österreichischen Behörden, die der Übernahme des Beschwerdeführers ausdrücklich zugestimmt haben, würden ihm den Zugang zum Asylverfahren verweigern oder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8.4</w:t>
      </w:r>
    </w:p>
    <w:p>
      <w:r>
        <w:t>Für einen Selbsteintritt der Schweiz gemäss Art. 29a Abs. 3 AsylV1 in Verbindung mit Art. 17 Dublin-III-VO besteht somit keine Veranlassung. Der Beschwerdeführer konnte kein konkretes und ernsthaftes Risiko dartun, wonach seine Überstellung nach Österreich die Verletzung völkerrechtlicher Bestimmungen zur Folge hätte. Eine Ermessenunterschreitung der Vorinstanz liegt ebenfalls nicht vor (vgl. dazu BVGE 2015/9 E. 7 f.).</w:t>
      </w:r>
    </w:p>
    <w:p>
      <w:r>
        <w:rPr>
          <w:b/>
        </w:rPr>
        <w:t>E. 9</w:t>
      </w:r>
    </w:p>
    <w:p>
      <w:r>
        <w:t>Das SEM ist im Ergebnis zu Recht in Anwendung von Art. 31a Abs. 1 Bst. b AsylG auf das Asylgesuch des Beschwerdeführers nicht eingetreten. Da selbiger nicht im Besitz einer gültigen Aufenthalts- oder Niederlassungsbewilligung ist, wurde die Überstellung nach Österreich in Anwendung von Art. 44 AsylG ebenfalls zu Recht angeordnet (Art. 32 Bst. a AsylV 1). Die angefochtene Verfügung erweist sich als rechtmässig und die Beschwerde ist abzuweisen.</w:t>
      </w:r>
    </w:p>
    <w:p>
      <w:r>
        <w:rPr>
          <w:b/>
        </w:rPr>
        <w:t>E. 10</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11</w:t>
      </w:r>
    </w:p>
    <w:p>
      <w:r>
        <w:t>Mit dem vorliegenden Urteil fällt der am 24. Oktober 2022 angeordnete Vollzugsstopp dahin. Die Gesuche um Erteilung der aufschiebenden Wirkung der Beschwerde sowie um Verzicht auf die Erhebung eines Kostenvorschusses sind gegenstandslos geworden.</w:t>
      </w:r>
    </w:p>
    <w:p>
      <w:r>
        <w:rPr>
          <w:b/>
        </w:rPr>
        <w:t>E. 12</w:t>
      </w:r>
    </w:p>
    <w:p>
      <w:r>
        <w:t>Bei diesem Ausgang des Verfahrens wäre das Gesuch um unentgeltliche Rechtspflege infolge Aussichtslosigkeit abzuweisen und wären die Verfahrenskosten dem Beschwerdeführer aufzuerlegen (Art. 63 Abs. 1 VwVG). Es ist jedoch davon auszugehen, dass die separaten Beschwerden der beiden Brüder ohne das erwähnte kanzleitechnische Versehen (vgl. vorstehend E. 3) antragsgemäss vereinigt worden wären und in einem solchen Verfahren - entsprechend dem Urteil F-3872/2022 - die unentgeltliche Rechtspflege gewährt worden wäre. Deshalb ist vorliegend auf die Erhebung von Verfahrenskosten zu verzichten (vgl. Art. 6 Bst. b des Reglements vom 21. Februar 2008 über die Kosten und Entschädigungen vor dem Bundesverwaltungsgericht [VGKE, SR 173.320.2]). Das im obgenannten Urteil gekürzte amtliche Honorar ist nachträglich im Umfang des ursprünglich geltend gemachten zeitlichen Aufwands von 11.5 Stunden zu gewähren (Stundenansatz: Fr. 220). Dies führt zu einer Nachzahlung an die im Verfahren F-3872/2022 bestellte amtliche Rechtsbeiständin, Rechtsanwältin Lea Schlunegger, im Umfang von Fr. 770.-. Darüber hinaus sind Fr. 130.- für das Verfassen des Schreibens vom 21. Oktober 2022 zu gewähren. Das Honorar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