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F-4784/2022 vom 21. Dezember 2023</w:t>
      </w:r>
    </w:p>
    <w:p>
      <w:r>
        <w:t>Bundesverwaltungsgericht, 2023-12-21, DE</w:t>
      </w:r>
    </w:p>
    <w:p>
      <w:r>
        <w:rPr>
          <w:b/>
        </w:rPr>
        <w:t xml:space="preserve">Quelle: </w:t>
      </w:r>
      <w:r>
        <w:t>https://mcp.opencaselaw.ch/entscheid/bvger_F-4784_2022</w:t>
      </w:r>
    </w:p>
    <w:p>
      <w:r>
        <w:t>FR: TAF F-4784/2022 du 21 décembre 2023</w:t>
      </w:r>
    </w:p>
    <w:p>
      <w:r>
        <w:t>IT: TAF F-4784/2022 del 21 dicembre 2023</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112 Abs. 1 AIG [SR 142.20] i.V.m. Art. 31 ff. VGG und Art. 5 VwVG).</w:t>
      </w:r>
    </w:p>
    <w:p>
      <w:r>
        <w:rPr>
          <w:b/>
        </w:rPr>
        <w:t>E. 1.2</w:t>
      </w:r>
    </w:p>
    <w:p>
      <w:r>
        <w:t>Das Rechtsmittelverfahren richtet sich nach dem VwVG, soweit das VGG nichts anderes bestimmt (Art. 37 VGG).</w:t>
      </w:r>
    </w:p>
    <w:p>
      <w:r>
        <w:rPr>
          <w:b/>
        </w:rPr>
        <w:t>E. 1.3</w:t>
      </w:r>
    </w:p>
    <w:p>
      <w:r>
        <w:t>Die Beschwerdeführenden haben am vorangegangenen Einspracheverfahren teilgenommen und sind als Gastgeber sowie Tochter und Enkel der Gesuchstellerin durch den angefochtenen Entscheid besonders berührt. Sie sind zur Erhebung des Rechtsmittels legitimiert, zumal die Gesuchstellerin nach wie vor einen Aufenthalt in der Schweiz anstrebt (Art. 48 Abs. 1 VwVG). Auf die frist- und formgerecht eingereichte Beschwerde ist einzutreten (Art. 50 Abs.1 und Art. 52 Abs. 1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w:t>
      </w:r>
    </w:p>
    <w:p>
      <w:r>
        <w:t>Dem angefochtenen Entscheid liegt das Gesuch einer nigerianischen Staatsangehörigen um Erteilung eines Visums zu Besuchszwecken in der Schweiz zugrunde. Da sich die Gesuchstellerin nicht auf die EU/EFTA-Personenfreizügigkeitsabkommen berufen kann und die beabsichtigte Aufenthaltsdauer 90 Tage nicht überschreitet, fällt die vorliegende Streitsache in den Anwendungsbereich der Schengen-Assoziierungsabkommen, mit denen die Schweiz den Schengen-Besitzstand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aber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[nachfolgend: EU-Visa-VO]). Des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w:t>
      </w:r>
    </w:p>
    <w:p>
      <w:r>
        <w:rPr>
          <w:b/>
        </w:rPr>
        <w:t>E. 5</w:t>
      </w:r>
    </w:p>
    <w:p>
      <w:r>
        <w:t>Strittig ist, ob die nigerianische Gesuchstellerin Gewähr für eine fristgerechte Wiederausreise aus dem Schengen-Raum bietet.</w:t>
      </w:r>
    </w:p>
    <w:p>
      <w:r>
        <w:rPr>
          <w:b/>
        </w:rPr>
        <w:t>E. 5.1.1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(vgl. E. 5.1.2 hiernach) sowie die individuelle Situation der gesuchstellenden Person andererseits (vgl. E. 5.2 hiernach).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5.1.2</w:t>
      </w:r>
    </w:p>
    <w:p>
      <w:r>
        <w:t>Obwohl Nigeria aufgrund seiner reichhaltigen Erdölvorkommen auch als stärkste Volkswirtschaft des afrikanischen Kontinents gilt, lebt ein grosser Teil der Bevölkerung in Armut. Gemäss dem Human Development Report 2021/2022 des United Nations Development Programme befindet sich Nigeria lediglich auf Rang 163 des Entwicklungsindexes (vgl. &lt; https://hdr.undp.org/ reports and publications , abgerufen am 20.12.2023). Zutreffend führt die Vorinstanz daher an, die Gesuchstellerin - sie ist in (...) im Bundesstaat Delta wohnhaft - stamme aus einer Region, aus welcher als Folge der dort insbesondere in wirtschaftlicher Hinsicht herrschenden Verhältnisse der Zuwanderungsdruck nach wie vor stark anhält (vgl. dazu Urteile des BVGer F-4339/2022 vom 31. März 2023 E. 5.3 f.; F-4052/2018 vom 8. April 2020 E. 5.3 f.; je m.w.H.). Somit ist nicht zu beanstanden, wenn die Vorinstanz das Risiko einer nicht fristgerechten Wiederausreise als allgemein hoch einschätzt.</w:t>
      </w:r>
    </w:p>
    <w:p>
      <w:r>
        <w:rPr>
          <w:b/>
        </w:rPr>
        <w:t>E. 5.2</w:t>
      </w:r>
    </w:p>
    <w:p>
      <w:r>
        <w:t>Nebst den allgemeinen Verhältnissen im Herkunftsland sind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5.2.1</w:t>
      </w:r>
    </w:p>
    <w:p>
      <w:r>
        <w:t>Die Gesuchstellerin ist 66 Jahre alt, verwitwet und offenbar Analphabetin. Sie ist ihren eigenen Angaben zufolge Managerin eines kleinen Ladens, welcher einheimische und ausländische Getränke sowie Zigaretten in Rollen und Päckchen verkaufe. Zudem sei sie Gross- und Einzelhändlerin. Wie hoch ihr damit erzieltes Einkommen ist, ergibt sich aus den eingereichten Unterlagen betreffend ihre Erwerbstätigkeit jedoch nicht. Gemäss dem Auszug eines nigerianischen Bankkontos, lautend auf die Gesuchstellerin, betrug der Saldo per 15. Juni 2022 rund NGN (Nigerianische Naira) 1'931.-. Dies entspricht umgerechnet zirka Fr. 2.05. Am 23. September 2022 wurde der Gesuchstellerin dann ein Betrag von NGN 1'500'000.- (d.h. rund Fr. 1'580.-) überwiesen (vgl. Einzahlungsbeleg vom 23. September 2022). Woher dieses Geld stammt, ist nicht ersichtlich. Aus der Steuererklärung der Beschwerdeführerin 1 vom 3. März 2023 geht immerhin hervor, dass die Gesuchstellerin im Jahr 2022 mit Fr. 4'670.- unterstützt wurde.</w:t>
      </w:r>
    </w:p>
    <w:p>
      <w:r>
        <w:rPr>
          <w:b/>
        </w:rPr>
        <w:t>E. 5.2.2</w:t>
      </w:r>
    </w:p>
    <w:p>
      <w:r>
        <w:t>Über ausgewiesene, nennenswerte Barmittel verfügt die Gesuchstellerin somit nicht. Zwar halten die Beschwerdeführenden dem entgegen, die Gesuchstellerin lagere das Geld zu Hause und Zahlungen würden in Nigeria noch immer in bar abgewickelt. Nähere Angaben zu den Einkommens- und Vermögensverhältnissen der Gesuchstellerin liefern die anwaltlich vertretenen Beschwerdeführenden jedoch keine. Sodann macht die Gesuchstellerin nicht geltend, ihren Getränke- und Tabakladen trotz ihres fortgeschrittenen Alters noch lange Zeit (alleine) weiterführen zu wollen beziehungsweise zu müssen. Ihr Grundeigentum ginge bei einer allfälligen Emigration nicht zwingend verloren (vgl. BVGE 2014/1 E. 6.3.6 m.H.; statt vieler: Urteil des BVGer F-3689/2022 vom 17. August 2023 E. 5.2.1). Demnach bildet die wirtschaftliche Situation der Gesuchstellerin keine verlässliche Gewähr für eine anstandslose Wiederausreise vor Ablauf des Schengen-Visums (vgl. BVGE 2019 VII/1 E. 8.3).</w:t>
      </w:r>
    </w:p>
    <w:p>
      <w:r>
        <w:rPr>
          <w:b/>
        </w:rPr>
        <w:t>E. 5.2.3</w:t>
      </w:r>
    </w:p>
    <w:p>
      <w:r>
        <w:t>Plausibel und nachvollziehbar scheint, dass die Gesuchstellerin in Nigeria über einen grossen Familienverbund und einen weiten Bekanntenkreis verfügt sowie dass sie die Betreuung von Enkelkindern übernimmt. Zum einen hat jedoch die Erfahrung oft gezeigt, dass zurückbleibende Angehörige gerade in Situationen angespannter wirtschaftlicher und/oder politischer Verhältnisse gesuchstellende Personen regelmässig nicht davon abhalten können, den Entschluss für eine Emigration zu fällen. Zum andern lässt insbesondere das soziale Beziehungsnetz der Gesuchstellerin in der Schweiz das Emigrationsrisiko als hoch erscheinen. Dies gilt vorliegend umso mehr mit Blick auf die beiden minderjährigen Kinder der Beschwerdeführerin 1, die während deren Erwerbstätigkeit noch einer teilweise umfassenden Betreuung bedürfen. Der von der Vorinstanz aufgebrachte Verdacht, die Gesuchstellerin könnte auch aufgrund gesundheitlicher Probleme einen Aufenthalt in der Schweiz anstreben, blieb seitens der Beschwerdeführenden unwidersprochen. Unbelegt und unsubstantiiert ist sodann die Behauptung, die Gesuchstellerin sei in Nigeria Gründungsmitglied und Präsidentin mehrerer Vereinigungen sowie ein (...) Mitglied (...) ihres Dorfes. Darauf ist nicht weiter einzugehen.</w:t>
      </w:r>
    </w:p>
    <w:p>
      <w:r>
        <w:rPr>
          <w:b/>
        </w:rPr>
        <w:t>E. 5.3.1</w:t>
      </w:r>
    </w:p>
    <w:p>
      <w:r>
        <w:t>Somit können der Gesuchstellerin keine beruflichen und familiären Verpflichtungen oder Abhängigkeiten attestiert werden, die hinreichende Gewähr für eine fristgerechte Wiederausreise bieten könnten. Das Risiko, dass die Gesuchstellerin - einmal in die Schweiz eingereist - vom zuvor deklarierten Aufenthaltszweck abweichen und versuchen könnte, diesen auf eine neue Basis zu stellen, ist vor diesem Hintergrund als hoch einzuschätzen. Die Zusicherung einer fristgerechten Ausreise durch die Beschwerdeführenden ändert daran nichts.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5.3.2</w:t>
      </w:r>
    </w:p>
    <w:p>
      <w:r>
        <w:t>Schliesslich ist festzuhalten, dass dem Risiko einer nicht fristgerechten Wiederausreise der Gesuchstellerin vorliegend auch nicht mit der Hinterlegung einer Kaution Rechnung getragen werden kann (vgl. dazu Art. 6 Abs. 3 AIG; Art. 14 ff. VEV; BVGE 2019 VII/1 E. 9; 2018 VII/6 E. 8.3; Urteil des BVGer F-3040/2023 vom 12. Oktober 2023 E. 5.9 m.w.H.). Aktenkundig verfügen die Beschwerdeführenden über keine Barmittel, die es ihnen erlauben würden, ihrer unterzeichneten Garantieverpflichtung vom 16. August 2022 nachzukommen, geschweige denn eine angemessene Kaution leisten zu können (vgl. Steuererklärung der Beschwerdeführerin 1 vom 3. März 2023: Fr. 718.- steuerbares Vermögen; Bankauszug Beschwerdeführer 2 per 1. Februar 2022: Guthaben von Fr. 41.06). Unbesehen dessen kann das Emigrationsrisiko der Gesuchstellerin aufgrund des bestehenden familiären Netzes in der Schweiz mit der Hinterlegung einer Geldsumme ohnehin nicht als gebannt betrachtet werden. Das (sinngemässe) Eventualbegehren auf Leistung einer Kaution ist deshalb abzuweisen.</w:t>
      </w:r>
    </w:p>
    <w:p>
      <w:r>
        <w:rPr>
          <w:b/>
        </w:rPr>
        <w:t>E. 5.4</w:t>
      </w:r>
    </w:p>
    <w:p>
      <w:r>
        <w:t>Zu Recht ging die Vorinstanz daher davon aus, die Wiederausreise der Gesuchstellerin sei nicht gesichert. Die Voraussetzungen für die Erteilung eines Besuchervisums im Sinne von Art. 6 SGK beziehungsweise Art. 5 AIG sind nicht erfüllt. Eine Verletzung des Willkürverbots (Art. 9 BV) ist nicht auszumachen. Ein Abhängigkeitsverhältnis zwischen der Gesuchstellerin und den Beschwerdeführenden oder weitere Gründe für die Ausstellung eines Visums mit räumlich beschränkter Gültigkeit (vgl. Art. 5 Abs. 3 AIG; 3 Abs. 4 VEV, Art. 25 Abs. 1 Bst. a VK sowie Art. 6 Abs. 5 Bst. c SGK) wurden weder geltend gemacht noch ergeben sich solche aus den Akten. Somit ist nicht zu beanstanden, dass die Vorinstanz die Ausstellung eines Visums verweigert hat.</w:t>
      </w:r>
    </w:p>
    <w:p>
      <w:r>
        <w:rPr>
          <w:b/>
        </w:rPr>
        <w:t>E. 6</w:t>
      </w:r>
    </w:p>
    <w:p>
      <w:r>
        <w:t>Die angefochtene Verfügung verletzt kein Bundesrecht (Art. 49 VwVG). Die Beschwerde ist abzuweisen.</w:t>
      </w:r>
    </w:p>
    <w:p>
      <w:r>
        <w:rPr>
          <w:b/>
        </w:rPr>
        <w:t>E. 7</w:t>
      </w:r>
    </w:p>
    <w:p>
      <w:r>
        <w:t>Entsprechend dem Verfahrensausgang sind die Kosten den unterliegen-den Beschwerdeführenden aufzuerlegen (vgl. Art. 63 Abs. 1 VwVG i.V.m. Art. 1 ff. des Reglements vom 21. Februar 2008 über die Kosten und Entschädigungen vor dem Bundesverwaltungsgericht [VGKE, SR 173.320.2]).</w:t>
      </w:r>
    </w:p>
    <w:p>
      <w:r>
        <w:rPr>
          <w:b/>
        </w:rPr>
        <w:t>E. 8</w:t>
      </w:r>
    </w:p>
    <w:p>
      <w:r>
        <w:t>Das Bundesverwaltungsgericht entscheidet in der vorliegenden Angelegenheit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