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F-4779/2022 vom 20. September 2022</w:t>
      </w:r>
    </w:p>
    <w:p>
      <w:r>
        <w:t>Bundesverwaltungsgericht, 2022-09-20, DE</w:t>
      </w:r>
    </w:p>
    <w:p>
      <w:r>
        <w:rPr>
          <w:b/>
        </w:rPr>
        <w:t xml:space="preserve">Quelle: </w:t>
      </w:r>
      <w:r>
        <w:t>https://mcp.opencaselaw.ch/entscheid/bvger_F-4779_2022_d20220920</w:t>
      </w:r>
    </w:p>
    <w:p>
      <w:r>
        <w:t>FR: TAF F-4779/2022 du 20 septembre 2022</w:t>
      </w:r>
    </w:p>
    <w:p>
      <w:r>
        <w:t>IT: TAF F-4779/2022 del 20 settembre 2022</w:t>
      </w:r>
    </w:p>
    <w:p>
      <w:pPr>
        <w:pStyle w:val="Heading2"/>
      </w:pPr>
      <w:r>
        <w:t>Regeste</w:t>
      </w:r>
    </w:p>
    <w:p>
      <w:r>
        <w:t>Schengen-Visum | Schengen-Visum zu Besuchszwecken zu Gunsten von A.; Verfügung des SEM vom 20. September 2022</w:t>
      </w:r>
    </w:p>
    <w:p>
      <w:pPr>
        <w:pStyle w:val="Heading2"/>
      </w:pPr>
      <w:r>
        <w:t>Erwägungen</w:t>
      </w:r>
    </w:p>
    <w:p>
      <w:r>
        <w:rPr>
          <w:b/>
        </w:rPr>
        <w:t>E. 1.1</w:t>
      </w:r>
    </w:p>
    <w:p>
      <w:r>
        <w:t>Einspracheentscheide der Vorinstanz bezüglich Schengen-Visa sind mit Beschwerde beim Bundesverwaltungsgericht anfechtbar (vgl. Art. 112 Abs. 1 AIG [SR 142.20] i.V.m. 31 ff. VGG und Art. 5 VwVG). Das Rechts- mittelverfahren richtet sich nach dem VwVG, soweit das VGG nichts ande- res bestimmt (Art. 37 VGG).</w:t>
      </w:r>
    </w:p>
    <w:p>
      <w:r>
        <w:rPr>
          <w:b/>
        </w:rPr>
        <w:t>E. 1.2</w:t>
      </w:r>
    </w:p>
    <w:p>
      <w:r>
        <w:t>Die Beschwerdeführerin hat am vorangegangenen Einspracheverfah- ren teilgenommen und ist als Gastgeberin und leibliche Tochter der Ge- suchstellerin durch die angefochtene Verfügung besonders berührt. Sie ist zur Erhebung des Rechtsmittels legitimiert, zumal die Gesuchstellerin nach wie vor einen Besuch in der Schweiz anstrebt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Der angefochtenen Verfügung liegt ein Gesuch einer pakistanischen Staatsangehörigen um Erteilung eines Visums zu Besuchszwecken in der Schweiz zugrunde. Da sich die Gesuchstellerin nicht auf die EU/EFTA-Per- sonenfreizügigkeitsabkommen berufen kann und die beabsichtigte Aufent- haltsdauer 90 Tage nicht überschreitet, fällt die vorliegende Streitsache in den Anwendungsbereich der Schengen-Assoziierungsabkommen, mit de- nen die Schweiz den Schengen-Besitzstand sowie die dazugehörigen ge- meinschaftsrechtlichen Rechtsakte übernahm (BVGE 2014/1 E. 3; 2011/48 E. 3). Das AIG und dessen Ausführungsbestimmungen gelangen nur so- weit zur Anwendung, als die Schengen-Assoziierungsabkommen keine ab- weichenden Bestimmungen enthalten (Art. 2 Abs. 4 AIG).</w:t>
      </w:r>
    </w:p>
    <w:p>
      <w:r>
        <w:t>F-4779/2022 Seite 4</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243/1 vom 15. September 2009]).</w:t>
      </w:r>
    </w:p>
    <w:p>
      <w:r>
        <w:t>F-4779/2022 Seite 5</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VK; Art. 21 Abs. 1 VK; Art. 12 VEV; BVGE 2014/1 E. 4.4). Das Visum ist zu verweigern, wenn begründete Zweifel an der Echtheit der von der gesuchstellenden Person eingereichten Belege oder am Wahrheitsgehalt ihres Inhalts, an der Glaubwürdigkeit ihrer Aussagen oder der von ihr be- kundeten Absicht bestehen, das Hoheitsgebiet der Mitgliedstaaten vor Ab- lauf der Gültigkeit des beantragten Visums zu verlassen (Art. 32 Abs. 1 Bst. b VK).</w:t>
      </w:r>
    </w:p>
    <w:p>
      <w:r>
        <w:rPr>
          <w:b/>
        </w:rPr>
        <w:t>E. 4</w:t>
      </w:r>
    </w:p>
    <w:p>
      <w:r>
        <w:t>Strittig ist, ob die pakistanische Gesuchstellerin Gewähr für eine fristge- rechte Wiederausreise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Pakistan leidet unter einer schweren Wirtschafts- und Finanzkrise. Im ganzen Land bestehen hohe politische und soziale Spannungen sowie die Gefahr von Terroranschlägen (vgl. &lt; https://www.eda.admin.ch &gt; Reisehin- weise und Vertretungen &gt; Reisehinweise für Pakistan, abgerufen am 05.01.2024). Auf dem aktuellen Index der menschlichen Entwicklung der Vereinten Nationen belegt Pakistan lediglich Platz 161 von 191 gelisteten Staaten (vgl. dazu ausführlich Urteile des BVGer F-4076/2022 vom 16. Ok- tober 2023 E. 6.2; F-4570/2022 vom 28. August 2023 E. 6.2 je m.w.H.). Vor diesem Hintergrund ist nicht zu beanstanden, dass die Vorinstanz das</w:t>
      </w:r>
    </w:p>
    <w:p>
      <w:r>
        <w:t>F-4779/2022 Seite 6 Risiko einer nicht fristgerechten Wiederausreise als allgemein hoch ein- schätzt.</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w:t>
      </w:r>
    </w:p>
    <w:p>
      <w:r>
        <w:rPr>
          <w:b/>
        </w:rPr>
        <w:t>E. 4.4</w:t>
      </w:r>
    </w:p>
    <w:p>
      <w:r>
        <w:t>Die 56-jährige Gesuchstellerin ist verwitwet und lebt mit ihrem Bruder und dessen Familie zusammen. Eine gewisse familiäre Verwurzelung in Pakistan ist zwar aufgrund ihrer dort lebenden Geschwister gegeben. Ab- gesehen von der Betreuung der Kinder ihres Bruders und Mithilfe im Haus- halt machte die Gesuchstellerin aber keine familiären oder gesellschaftli- chen Verantwortlichkeiten geltend. Aufgrund ihrer persönlichen Situation ist davon auszugehen, dass sie – wie die Vorinstanz zutreffend festhält – keine Verpflichtungen hat, die besondere Gewähr für eine Rückkehr ins Heimatland bieten könnten. Soweit replizierend vorgebracht wird, eine Emigration würde die Gesuchstellerin aufgrund ihres fortgeschrittenen Al- ters unnötig belasten, ist festzuhalten, dass sie zwar aufgrund ihres Alters nicht zu jener Personengruppe gehört, von der das grösste Emigrationsri- siko ausgeht (vgl. Urteil des BVGer F-3020/2019 vom 11. März 2021 E. 8.1 m.H.). In Anbetracht der gewichtigen Gründe, die für eine Migration spre- chen (u.a. Gesundheitsversorgung, wirtschaftliche und soziale Sicherheit in der Schweiz), kann aber auch im fortgeschrittenen Alter der Entschluss gefasst werden, auszuwandern oder – einmal im Gastland angekommen – dort zu verbleiben. Die Gesuchstellerin verfügt in der Schweiz durch ihre hier lebende, leibliche Tochter über ein vorbestehendes familiäres Bezie- hungsnetz, was das Emigrationsrisiko erhöht.</w:t>
      </w:r>
    </w:p>
    <w:p>
      <w:r>
        <w:rPr>
          <w:b/>
        </w:rPr>
        <w:t>E. 4.5</w:t>
      </w:r>
    </w:p>
    <w:p>
      <w:r>
        <w:t>In Bezug auf die finanziellen Verhältnisse ist aktenkundig, dass die Ge- suchstellerin gemäss Kontoauszug der «(…)» über ein Vermögen von 2'136'818 pakistanische Rupien (Fr. 6'440.–) per 30. Januar 2023 verfügt. Es ist davon auszugehen, dass die regelmässigen Gutschriften auf dem Bankkonto – soweit derer Herkunft nicht ohnehin unklar bleibt – aufgrund der Namen der Absender von Familienangehörigen stammen. Auffallend ist dabei, dass sich das Vermögen der Gesuchstellerin von 630</w:t>
      </w:r>
    </w:p>
    <w:p>
      <w:r>
        <w:t>F-4779/2022 Seite 7 pakistanische Rupien (Fr. 1.90) im Oktober 2021 auf über zwei Millionen pakistanische Rupien (Fr. 6'440.–) im Januar 2023 erhöht hat. Die Be- schwerdeführerin selbst hat der Gesuchstellerin zwischen Oktober 2021 und August 2022 Beträge von insgesamt 384’000 pakistanische Rupien (Fr. 1'157.–) überwiesen. Die geltend gemachten Erträge aus Ländereien blieben gänzlich unbelegt. Gemäss eigenen Angaben ist die Gesuchstelle- rin Hausfrau und geht keiner bezahlten Erwerbstätigkeit nach. Vor diesem Hintergrund – und mit Blick auf das für Schweizer Verhältnisse ohnehin relativ geringe Vermögen, welches zudem bei einer Auswanderung nicht zwingend verloren geht (vgl. BVGE 2014/1 E. 6.3.6 m.H.) – kann entgegen den Ausführungen auf Beschwerdeebene nicht von stabilen wirtschaftli- chen Verhältnissen ausgegangen werden, welche die Gesuchstellerin von einer Emigration abzuhalten vermöchten. Daran ändert auch nichts, dass sie aufgrund einer Landstreitigkeit vor Gericht erscheinen muss.</w:t>
      </w:r>
    </w:p>
    <w:p>
      <w:r>
        <w:rPr>
          <w:b/>
        </w:rPr>
        <w:t>E. 5</w:t>
      </w:r>
    </w:p>
    <w:p>
      <w:r>
        <w:t>Im Ergebnis ging die Vorinstanz zu Recht davon aus, die Wiederausreise der Gesuchstellerin sei nicht ausreichend gesichert. An dieser Einschät- zung vermag die Bereitschaft der Beschwerdeführerin, eine Verpflichtungs- erklärung zu unterzeichnen, nichts zu ändern. Die Beschwerdeführerin kann zwar als Gastgeberin mit rechtlich verbindlicher Wirkung für gewisse finanzielle Risiken im Zusammenhang mit dem Besuchsaufenthalt, nicht aber für ein bestimmtes Verhalten der eingeladenen Person einstehen (vgl. BVGE 2014/1 E. 6.3.7 und BVGE 2009/27 E. 9). Gründe humanitärer oder anderer Art, welche die Erteilung eines Visums mit räumlich be- schränkter Gültigkeit rechtfertigen würden, wurden nicht geltend gemacht und sind auch nicht ersichtlich. Die Vorinstanz hat das nachgesuchte Visa für den Schengen-Raum zu Recht verweigert.</w:t>
      </w:r>
    </w:p>
    <w:p>
      <w:r>
        <w:rPr>
          <w:b/>
        </w:rPr>
        <w:t>E. 6</w:t>
      </w:r>
    </w:p>
    <w:p>
      <w:r>
        <w:t>Die angefochtene Verfügung erweist sich als rechtmässig (Art. 49 VwVG). Die Beschwerde ist abzuweisen.</w:t>
      </w:r>
    </w:p>
    <w:p>
      <w:r>
        <w:rPr>
          <w:b/>
        </w:rPr>
        <w:t>E. 7</w:t>
      </w:r>
    </w:p>
    <w:p>
      <w:r>
        <w:t>Entsprechend dem Verfahrensausgang sind die Kosten der unterliegenden Beschwerdeführerin aufzuerlegen und auf Fr. 800.– festzusetzen (vgl. Art. 63 Abs. 1 VwVG i.V.m. Art. 1 ff. des Reglements vom 21. Februar 2008 über die Kosten und Entschädigungen vor dem Bundesverwaltungsgericht [VGKE, SR 173.320.2]). Sie sind durch den geleisteten Kostenvorschuss gedeckt.</w:t>
      </w:r>
    </w:p>
    <w:p>
      <w:r>
        <w:t>F-4779/2022 Seite 8</w:t>
      </w:r>
    </w:p>
    <w:p>
      <w:r>
        <w:rPr>
          <w:b/>
        </w:rPr>
        <w:t>E. 8</w:t>
      </w:r>
    </w:p>
    <w:p>
      <w:r>
        <w:t>Das Bundesverwaltungsgericht entscheidet in der vorliegenden Angele- genheit endgültig (Art. 83 Bst. c Ziff. 1 BGG).</w:t>
      </w:r>
    </w:p>
    <w:p>
      <w:r>
        <w:t>(Dispositiv: nachfolgende Seite)</w:t>
      </w:r>
    </w:p>
    <w:p>
      <w:r>
        <w:t>F-4779/2022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