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F-4773/2025 vom 13. August 2025</w:t>
      </w:r>
    </w:p>
    <w:p>
      <w:r>
        <w:t>Bundesverwaltungsgericht, 2025-08-13, DE</w:t>
      </w:r>
    </w:p>
    <w:p>
      <w:r>
        <w:rPr>
          <w:b/>
        </w:rPr>
        <w:t xml:space="preserve">Quelle: </w:t>
      </w:r>
      <w:r>
        <w:t>https://mcp.opencaselaw.ch/entscheid/bvger_F-4773_2025</w:t>
      </w:r>
    </w:p>
    <w:p>
      <w:r>
        <w:t>FR: TAF F-4773/2025 du 13 août 2025</w:t>
      </w:r>
    </w:p>
    <w:p>
      <w:r>
        <w:t>IT: TAF F-4773/2025 del 13 agosto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Die Beschwerde wurde rechtzeitig eingereicht (Art. 108 Abs. 3 AsylG). Betreffend die übrigen Eintretensvoraussetzungen (Art. 48 Abs. 1 VwVG, Art. 52 VwVG) stellt sich die Frage, ob die Rechtsbegehren des Beschwerdeführers den Anforderungen von Art. 52 Abs. 1 VwVG genügen. Gemäss dieser Bestimmung hat die Beschwerdeschrift unter anderem die Begehren zu enthalten. Diesem Erfordernis ist Genüge getan, wenn aus der Beschwerde zumindest implizit ersichtlich ist, in welchen Punkten die angefochtene Verfügung beanstandet wird (vgl. André Moser, in: Auer/Müller/Schindler [Hrsg.], VwVG-Kommentar, 2 Aufl. 2019, Art. 52 N. 1). Die Vorinstanz hat gestützt auf Art. 31a Abs. 1 Bst. b AsylG i.V.m. Art. 44 AsylG einen Nichteintretens- und Wegweisungsentscheid erlassen. Der Beschwerdeführer benutzte das Beschwerdeformular der Schweizerischen Flüchtlingshilfe (Übersetzung abrufbar unter: &lt;https://www.fluechtlingshilfe.ch/hilfe-fuer-schutzsuchende/beschwerdeunterlagen&gt;, abgerufen am 13.08.2025). Die vorgedruckten Rechtsbegehren zielen auf die Anerkennung der Flüchtlingseigenschaft und die Gewährung von Asyl, subsidiär auf die Gewährung der vorläufigen Aufnahme ab. Die genannten Rechtsbegehren befinden sich somit ausserhalb des Anfechtungsgegenstands und sind folglich unzulässig. Auf sie ist nicht einzutreten. Der Beschwerdeführer handelte jedoch ohne Rechtsvertretung und aus der Beschwerdeschrift ist ersichtlich, dass er sich der Überstellung nach Schweden widersetzen wollte. Zu seinen Gunsten ist demnach davon auszugehen, dass er nebst der Aufhebung der angefochtenen Verfügung das Eintreten auf sein Asylgesuch beziehungsweise dessen materielle Behandlung beantragen wollte. Dabei handelt es sich um ein zulässiges Rechtsbegehren, zu dessen Erhebung der Beschwerdeführer gemäss Art. 48 Abs. 1 VwVG legitimiert ist. Auf die Beschwerde ist insofern einzutreten.</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Schweden für die Durchführung des Asyl- und Wegweisungsverfahrens des Beschwerdeführers zuständig ist, dass das schwedische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den Sachverhalt im Sinne der Rückweisung des Bundesverwaltungsgerichts mit Urteil vom 23. Mai 2025 richtig festgestellt und gewürdigt. Sie hat sodann die Vorbringen des Beschwerdeführers im Hinblick auf seine Rückkehr nach Schweden (abgeschlossenes Asylverfahren, Bedrohungslage) sowie seine gesundheitlichen Beeinträchtigungen (gemäss den ärztlichen Unterlagen akute Virushepatitis B, rezidivierende und persistierende Hämaturie, Bauch- und Beckenschmerzen [Flankenschmerzen rechts], Leistenhernie [ohne Gangrän oder Obstruktion], Verdacht auf Gastritis und Duodenitis, Gastroösophageale Refluxkrankheit sowie Nervosität und Schlafprobleme)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Schweden angeordnet. Zur näheren Begründung wird auf die Erwägungen der Vorinstanz verwiesen.</w:t>
      </w:r>
    </w:p>
    <w:p>
      <w:r>
        <w:rPr>
          <w:b/>
        </w:rPr>
        <w:t>E. 2.2</w:t>
      </w:r>
    </w:p>
    <w:p>
      <w:r>
        <w:t>Was der Beschwerdeführer auf Rechtsmittelebene vorbringt, vermag an der Richtigkeit der angefochtenen Verfügung nichts zu ändern. Das sinngemässe Vorbringen, sein Rechtsvertreter habe ihn mangelhaft vertreten, läuft ins Leere, betrifft es doch das Innenverhältnis und nicht sein Verhältnis zum Staat; er muss sich die Handlungen seines Vertreters anrechnen lassen. Hinsichtlich der erneut geltend gemachten Bedrohungen in Schweden ist festzuhalten, dass keine Anhaltspunkte dafür bestehen, dass die schwedischen Behörden nicht in der Lage wären, dem Beschwerdeführer den allenfalls benötigten Schutz zukommen zulassen. Schweden ist ein Rechtsstaat mit einem funktionierenden Justizsystem. Das Land verfügt über Polizeibehörden, die schutzwillig und schutzfähig sind und deren Hilfe der Beschwerdeführer im Falle einer Bedrohung durch Dritte in Anspruch nehmen kann.</w:t>
      </w:r>
    </w:p>
    <w:p>
      <w:r>
        <w:rPr>
          <w:b/>
        </w:rPr>
        <w:t>E. 3</w:t>
      </w:r>
    </w:p>
    <w:p>
      <w:r>
        <w:t>Nach dem Gesagten ist die angefochtene Verfügung vom 20. Juni 2025 nicht zu beanstanden und die Beschwerde ist abzuweisen, soweit darauf einzutreten ist.</w:t>
      </w:r>
    </w:p>
    <w:p>
      <w:r>
        <w:rPr>
          <w:b/>
        </w:rPr>
        <w:t>E. 4</w:t>
      </w:r>
    </w:p>
    <w:p>
      <w:r>
        <w:t>Mit vorliegendem Urteil fällt der am 1. Juli 2025 angeordnete Vollzugsstopp dahin und der Antrag auf Erteilung der aufschiebenden Wirkung wird gegenstandslos.</w:t>
      </w:r>
    </w:p>
    <w:p>
      <w:r>
        <w:rPr>
          <w:b/>
        </w:rPr>
        <w:t>E. 5</w:t>
      </w:r>
    </w:p>
    <w:p>
      <w:r>
        <w:t>Die Begehren erweisen sich als aussichtslos, weshalb das Gesuch um unentgeltliche Rechtspflege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