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F-4770/2023 vom 18. September 2023</w:t>
      </w:r>
    </w:p>
    <w:p>
      <w:r>
        <w:t>Bundesverwaltungsgericht, 2023-09-18, FR</w:t>
      </w:r>
    </w:p>
    <w:p>
      <w:r>
        <w:rPr>
          <w:b/>
        </w:rPr>
        <w:t xml:space="preserve">Quelle: </w:t>
      </w:r>
      <w:r>
        <w:t>https://mcp.opencaselaw.ch/entscheid/bvger_F-4770_2023</w:t>
      </w:r>
    </w:p>
    <w:p>
      <w:r>
        <w:t>FR: TAF F-4770/2023 du 18 septembre 2023</w:t>
      </w:r>
    </w:p>
    <w:p>
      <w:r>
        <w:t>IT: TAF F-4770/2023 del 18 settembre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Dans un grief formel qu'il convient d'examiner en premier lieu, le recourant se plaint de ce qu'une pièce de la procédure ne lui aurait pas été communiquée avec la décision en cause. En outre, l'autorité intimée aurait manqué à son devoir d'instruction en lien avec son état de santé. Les faits auraient ainsi été constatés de façon incomplète et la décision attaquée serait par conséquent insuffisamment motivée, en particulier en ce qui concerne les possibilités d'une prise en charge en Croatie des personnes vulnérables.</w:t>
      </w:r>
    </w:p>
    <w:p>
      <w:r>
        <w:rPr>
          <w:b/>
        </w:rPr>
        <w:t>E. 2.2</w:t>
      </w:r>
    </w:p>
    <w:p>
      <w:r>
        <w:t>Le droit d'accès aux pièces du dossier constitue une composante du droit d'être entendu, garanti par l'art. 29 al. 2 Cst. En droit administratif, il est concrétisé aux articles 26 à 28 PA.</w:t>
      </w:r>
    </w:p>
    <w:p>
      <w:r>
        <w:rPr>
          <w:b/>
        </w:rPr>
        <w:t>E. 2.3</w:t>
      </w:r>
    </w:p>
    <w:p>
      <w:r>
        <w:t>En procédure Dublin, régie par « l'objectif de célérité » (cf. point 3 du préambule au règlement Dublin III), l'accès aux pièces du dossier est garanti par l'art. 17 al. 5 LAsi. Aux termes de cette disposition, lors de la notification d'une décision rendue en vertu de l'art. 31a LAsi notamment, le SEM fait parvenir les pièces de la procédure au requérant ou à son mandataire si l'exécution du renvoi a été ordonnée. Selon le Conseil fédéral, cette norme vise à garantir que la personne concernée reçoive "toutes les pièces procédurales pertinentes", dès le moment où la décision est notifiée (cf. Message complémentaire du Conseil fédéral du 23 septembre 2011 concernant la modification de la loi sur l'asile, FF 2011 6735, p. 6748 à 6750, ch. 1.3.3.3 et ch. 2 ad art. 17, al. 5 [nouveau]).</w:t>
      </w:r>
    </w:p>
    <w:p>
      <w:r>
        <w:rPr>
          <w:b/>
        </w:rPr>
        <w:t>E. 2.4</w:t>
      </w:r>
    </w:p>
    <w:p>
      <w:r>
        <w:t>En l'espèce, le recourant indique qu'il n'a pas eu l'accès au rapport médical du 11 août 2023, auquel le SEM se réfère dans sa décision. Il allègue que l'autorité intimée n'avait pas donné suite à sa demande tendant à la consultation de ce document.</w:t>
      </w:r>
    </w:p>
    <w:p>
      <w:r>
        <w:rPr>
          <w:b/>
        </w:rPr>
        <w:t>E. 2.5</w:t>
      </w:r>
    </w:p>
    <w:p>
      <w:r>
        <w:t>Le Tribunal constate qu'il n'y a pas de trace d'une telle demande de consultation dans le dossier et que le dispositif de la décision querellée (cf. point 5) indique que les pièces de la procédure ont été remises au recourant. Au demeurant, le SEM a reproduit l'essentiel de l'attestation médicale du 11 août 2023 (cf. page 2 point 6 de la décision du SEM du 29 août 2023), de sorte que le recourant a eu connaissance du contenu de cette pièce. Il s'y est d'ailleurs référé dans son recours pour contester l'appréciation faite par le SEM de la gravité de ses problèmes de santé. Partant, même à supposer que la pièce en question n'ait pas été communiquée au recourant, cela n'aurait pas eu d'impact sur sa possibilité effective de contester la motivation de la décision rendue et de valablement exposer ses arguments.</w:t>
      </w:r>
    </w:p>
    <w:p>
      <w:r>
        <w:rPr>
          <w:b/>
        </w:rPr>
        <w:t>E. 2.6</w:t>
      </w:r>
    </w:p>
    <w:p>
      <w:r>
        <w:t>Pour ce qui est de l'instruction relative à l'état de santé de l'intéressé, le Tribunal rappelle que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w:t>
      </w:r>
    </w:p>
    <w:p>
      <w:r>
        <w:rPr>
          <w:b/>
        </w:rPr>
        <w:t>E. 2.7</w:t>
      </w:r>
    </w:p>
    <w:p>
      <w:r>
        <w:t>En l'espèce, le Tribunal relève que dans la décision attaquée, le SEM a pris en compte les déclarations du recourant ainsi que les pièces médicales fournies (à savoir deux certificats médicaux « Medbase » des 3 et 11 août 2023 ainsi qu'un journal de soins du 16 août 2023). Il s'est en particulier référé au certificat médical du 11 août 2023 qui indique que les investigations sur l'origine des maux de tête de l'intéressé pourront être menées ultérieurement, « compte tenu de l'absence des signes de gravité à ce jour ». En l'absence de maladies graves chez l'intéressé, il ne saurait ainsi être fait grief au SEM de ne pas avoir diligenté des mesures d'instruction complémentaires, ce d'autant plus qu'aucune pièce médicale ne faisait état d'une quelconque urgence médicale.</w:t>
      </w:r>
    </w:p>
    <w:p>
      <w:r>
        <w:rPr>
          <w:b/>
        </w:rPr>
        <w:t>E. 2.8</w:t>
      </w:r>
    </w:p>
    <w:p>
      <w:r>
        <w:t>Quant, enfin, au grief relatif à la motivation de la décision, le Tribunal rappelle que la jurisprudence a déduit du droit d'être entendu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2.9</w:t>
      </w:r>
    </w:p>
    <w:p>
      <w:r>
        <w:t>En l'espèce, la motivation de la décision attaquée satisfait aux exigences posées par la jurisprudence citée ci-dessus. En particulier, il est d'emblée possible de comprendre sur quels motifs l'autorité inférieure s'est fondée pour statuer, le SEM ayant dûment mentionné les éléments qui l'ont guidé dans son raisonnement. Au demeurant, les questions relatives aux carences alléguées dans le système d'accueil et de prise en charge, notamment médicale, en Croatie relèvent du fond et seront ainsi examinées ci-après.</w:t>
      </w:r>
    </w:p>
    <w:p>
      <w:r>
        <w:rPr>
          <w:b/>
        </w:rPr>
        <w:t>E. 2.10</w:t>
      </w:r>
    </w:p>
    <w:p>
      <w:r>
        <w:t>Compte tenu de ce qui précède, il y a lieu de constater que la décision attaquée n'est entachée d'aucune irrégularité formelle.</w:t>
      </w:r>
    </w:p>
    <w:p>
      <w:r>
        <w:rPr>
          <w:b/>
        </w:rPr>
        <w:t>E. 3.1</w:t>
      </w:r>
    </w:p>
    <w:p>
      <w:r>
        <w:t>Saisi d'un recours contre une décision de non-entrée en matière sur une demande d'asile, le Tribunal se limite à examiner le bien-fondé d'une telle décision (cf. ATAF 2017 VI/5 consid. 3.1).</w:t>
      </w:r>
    </w:p>
    <w:p>
      <w:r>
        <w:rPr>
          <w:b/>
        </w:rPr>
        <w:t>E. 3.2</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3.3</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3.4</w:t>
      </w:r>
    </w:p>
    <w:p>
      <w:r>
        <w:t>Aux termes de l'art. 3 par. 1 du règlement Dublin III, une demande de protection internationale est examinée par un seul Etat membre, celui-ci étant déterminé selon les critères fixés au chapitre III de ce règlement. La procédure de détermination de l'Etat responsable est engagée aussitôt qu'une demande d'asile a été déposée pour la première fois dans un Etat membre (art. 20 par. 1 du règlement Dublin III).</w:t>
      </w:r>
    </w:p>
    <w:p>
      <w:r>
        <w:rPr>
          <w:b/>
        </w:rPr>
        <w:t>E. 3.5</w:t>
      </w:r>
    </w:p>
    <w:p>
      <w:r>
        <w:t>Dans une procédure de reprise en charge - comme en l'espèce - il n'y a en principe aucun nouvel examen de la compétence selon le chapitre III (cf. ATAF 2017 VI/5 consid. 6.2 et 8.2.1, et réf. cit.).</w:t>
      </w:r>
    </w:p>
    <w:p>
      <w:r>
        <w:rPr>
          <w:b/>
        </w:rPr>
        <w:t>E. 3.6</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w:t>
      </w:r>
    </w:p>
    <w:p>
      <w:r>
        <w:rPr>
          <w:b/>
        </w:rPr>
        <w:t>E. 4.1</w:t>
      </w:r>
    </w:p>
    <w:p>
      <w:r>
        <w:t>En l'occurrence, les investigations entreprises par le SEM ont révélé que le recourant avait déposé une demande d'asile en Croatie le 24 juillet 2023. Le 8 août 2023, le SEM a dès lors soumis aux autorités croates, dans les délais fixés aux art. 23 par. 2 et art. 24 par. 2 du règlement Dublin III, une requête aux fins de reprise en charge fondée sur l'art. 18 par. 1 let. b du règlement Dublin III.</w:t>
      </w:r>
    </w:p>
    <w:p>
      <w:r>
        <w:rPr>
          <w:b/>
        </w:rPr>
        <w:t>E. 4.2</w:t>
      </w:r>
    </w:p>
    <w:p>
      <w:r>
        <w:t>Le 22 août 2023, les autorités croates ont expressément accepté de reprendre en charge le recourant,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La Croatie a dès lors reconnu sa responsabilité pour mener la procédure d'asile de l'intéressé, ce qui n'est d'ailleurs pas contesté.</w:t>
      </w:r>
    </w:p>
    <w:p>
      <w:r>
        <w:rPr>
          <w:b/>
        </w:rPr>
        <w:t>E. 5.1</w:t>
      </w:r>
    </w:p>
    <w:p>
      <w:r>
        <w:t>Au vu de l'art. 3 par. 2 du règlement Dublin III, il y a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5.2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récent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risquent-elles d'être exposées, à la suite du dépôt d'une demande d'asile, à un risque accru d'expulsion du territoire croate avant la mise en oeuvre d'une procédure d'asile (cf. arrêt de référence précité consid. 9.4.4 in fine).</w:t>
      </w:r>
    </w:p>
    <w:p>
      <w:r>
        <w:rPr>
          <w:b/>
        </w:rPr>
        <w:t>E. 5.6</w:t>
      </w:r>
    </w:p>
    <w:p>
      <w:r>
        <w:t>Au vu de ce qui précède, il y a lieu de considérer que les requérants transférés en Croatie en vertu du règlement Dublin III peuvent effectivement accéder à la procédure d'asile, à condition toutefois d'y déposer une telle demande.</w:t>
      </w:r>
    </w:p>
    <w:p>
      <w:r>
        <w:rPr>
          <w:b/>
        </w:rPr>
        <w:t>E. 5.7</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6.1</w:t>
      </w:r>
    </w:p>
    <w:p>
      <w:r>
        <w:t>Pour s'opposer à son transfert, l'intéressé a également fait valoir qu'il avait été maltraité et battu par les policiers croates. Par ailleurs, le transfert vers ce pays ne serait selon lui assorti d'aucune garantie quant à son accès à une procédure d'asile équitable et respectueuse du principe de non-refoulement. Le recourant a également indiqué que son état de santé précaire s'opposerait à son transfert. Dans son recours, il a en particulier mis l'accent sur le fait que l'organisation Médecins du Monde avait dû cesser une grande partie de ses activités à Zagreb depuis le 22 mai 2023 par manque de financement. Dans ce contexte, il a sollicité l'application de la clause discrétionnaire prévue à l'art. 17 par. 1 règlement Dublin III (clause de souveraineté).</w:t>
      </w:r>
    </w:p>
    <w:p>
      <w:r>
        <w:rPr>
          <w:b/>
        </w:rPr>
        <w:t>E. 6.2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6.3.1</w:t>
      </w:r>
    </w:p>
    <w:p>
      <w:r>
        <w:t>En l'occurrence, l'intéressé n'a fourni aucun élément concret susceptible d'établir que les autorités croates refuseraient de le reprendre en charge et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6.3.2</w:t>
      </w:r>
    </w:p>
    <w:p>
      <w:r>
        <w:t>Si l'intéressé a certes exposé que les conditions d'accueil en Croatie avaient été désastreuses et que la police l'avait maltraité, son récit manque de crédibilité, ce d'autant plus que son séjour en Croatie n'avait pas dépassé quelques jours. Quoi qu'il en soit, le recourant n'a pas démontré que les conditions d'accueil dans ce pays revêtiraient un degré de pénibilité et de gravité tel qu'il constituerait un traitement contraire à l'art. 3 CEDH, respectivement à l'art. 3 Conv. Torture. Il n'a pas non plus apporté d'indices objectifs, concrets et sérieux qu'il serait lui-même privé durablement, s'il déposait une demande d'asile, de tout accès à des conditions matérielles minimales d'accueil prévues par la directive Accueil et qu'il ne pourrait pas bénéficier de l'aide nécessaire pour faire valoir ses droits. Cela étant,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6.4</w:t>
      </w:r>
    </w:p>
    <w:p>
      <w:r>
        <w:t>Pour ce qui est de la situation médicale, le Tribunal rappelle que le retour forcé d'une personne touchée dans sa santé n'est, selon la jurisprudence de la Cour EDH (cf. arrêt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6.5</w:t>
      </w:r>
    </w:p>
    <w:p>
      <w:r>
        <w:t>S'agissant en l'espèce des problèmes de santé invoqués, il ressort des documents médicaux produits (attestations médicales des 3 et 11 août 2023) que le recourant aurait été poignardé il y a deux ans au niveau de la jambe droite ; il aurait alors dû être hospitalisé aux soins intensifs dans un état de coma. Actuellement, il se plaindrait de problèmes neurologiques se manifestant par « des céphalées sans fièvre ni frissons ni phonophobie ni vertiges ni nausée ni vomissement ni d'autres symptômes ». Selon le médecin, les troubles de l'intéressé ne nécessitent aucune action immédiate (« absence des signes de gravité »), l'investigation neurologique sur leur origine pouvant être réalisée ultérieurement. L'attestation médicale du 3 août 2023 ne révèle quant à elle aucun problème de santé puisqu'elle concerne uniquement les vaccinations du recourant.</w:t>
      </w:r>
    </w:p>
    <w:p>
      <w:r>
        <w:rPr>
          <w:b/>
        </w:rPr>
        <w:t>E. 6.6</w:t>
      </w:r>
    </w:p>
    <w:p>
      <w:r>
        <w:t>Le Tribunal constate qu'en l'état actuel, les problèmes de santé dont souffre le recourant sans vouloir les déprécier ne sont pas d'une gravité telle qu'ils l'empêcheraient compte tenu de la jurisprudence restrictive en la matière de voyager ou que son transfert vers la Croatie l'exposerait à un danger réel pour sa vie, respectivement sa santé (cf., à ce sujet, Cour EDH précité Paposhvili c. Belgique [GC], par. 183). En effet, à l'heure actuelle, l'intéressé ne souffre pas d'une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 En particulier, rien ne permet d'établir que le recourant souffrirait, comme ce dernier le prétend dans son recours, de troubles de nature psychologique. Ainsi, la jurisprudence relative aux personnes vulnérables citée par l'intéressé dans son recours ne saurait être applicable en l'espèce. En effet, d'une part, elle concerne l'Italie et, d'autre part, compte tenu de ce qui précède, le recourant ne saurait être considéré comme une personne particulièrement vulnérable.</w:t>
      </w:r>
    </w:p>
    <w:p>
      <w:r>
        <w:rPr>
          <w:b/>
        </w:rPr>
        <w:t>E. 6.7</w:t>
      </w:r>
    </w:p>
    <w:p>
      <w:r>
        <w:t>Par ailleurs, de jurisprudence constante, le Tribunal a retenu que la Croatie dispose de structures médicales suffisantes, même si les possibilités de soins y sont fortement mises à contribution à la suite d'un afflux important de migrants.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w:t>
      </w:r>
    </w:p>
    <w:p>
      <w:r>
        <w:rPr>
          <w:b/>
        </w:rPr>
        <w:t>E. 6.8</w:t>
      </w:r>
    </w:p>
    <w:p>
      <w:r>
        <w:t>En outre, le risque de suicide chez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w:t>
      </w:r>
    </w:p>
    <w:p>
      <w:r>
        <w:rPr>
          <w:b/>
        </w:rPr>
        <w:t>E. 6.9</w:t>
      </w:r>
    </w:p>
    <w:p>
      <w:r>
        <w:t>Enfin, il convient de souligner que l'organisation « Médecins du Monde » a repris ses activités en Croatie à partir du 1er août 2023. L'argument avancé au stade du recours selon lequel elle n'est plus active en Croatie n'est dès lors plus d'actualité. De plus, d'autres organisations sont présentes en Croatie, comme le Jesuit Refugee Service ou la Croix-Rouge croate, auxquelles le recourant pourra s'adresser en cas de besoin.</w:t>
      </w:r>
    </w:p>
    <w:p>
      <w:r>
        <w:rPr>
          <w:b/>
        </w:rPr>
        <w:t>E. 6.10</w:t>
      </w:r>
    </w:p>
    <w:p>
      <w:r>
        <w:t>Le Tribunal est certes conscient de l'impact de la décision de non-entrée en matière du SEM et du stress lié au transfert sur l'état de santé psychique du recourant. Cela dit, il incombera aux autorités suisses chargées du transfert de transmettre en temps utile à leurs homologues croates les renseignements permettant, si besoin, une prise en charge médicale adéquate du recourant (cf. art. 31 et 32 du règlement Dublin III), étant rappelé que ce dernier a donné son accord écrit à la transmission d'informations médicales.</w:t>
      </w:r>
    </w:p>
    <w:p>
      <w:r>
        <w:rPr>
          <w:b/>
        </w:rPr>
        <w:t>E. 6.11</w:t>
      </w:r>
    </w:p>
    <w:p>
      <w:r>
        <w:t>Au vu de ce qui précède, le transfert de l'intéressé n'est pas contraire aux obligations de la Suisse découlant des art. 3 et 13 CEDH, ainsi que 3 et 13 Conv. Torture.</w:t>
      </w:r>
    </w:p>
    <w:p>
      <w:r>
        <w:rPr>
          <w:b/>
        </w:rPr>
        <w:t>E. 6.12</w:t>
      </w:r>
    </w:p>
    <w:p>
      <w:r>
        <w:t>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7.1</w:t>
      </w:r>
    </w:p>
    <w:p>
      <w:r>
        <w:t>Au vu de ce qui précède, c'est à bon droit que le SEM n'est pas entré en matière sur la demande d'asile de l'intéressé, en application de l'art. 31a al. 1 let. b LAsi, et qu'il a prononcé son transfert de Suisse vers la Bulgarie, conformément à l'art. 44 LAsi, aucune exception à la règle générale du renvoi n'étant réalisée (art. 32 al. 1 OA 1). Le recours doit par conséquent être rejeté et la décision attaquée confirmée.</w:t>
      </w:r>
    </w:p>
    <w:p>
      <w:r>
        <w:rPr>
          <w:b/>
        </w:rPr>
        <w:t>E. 7.2</w:t>
      </w:r>
    </w:p>
    <w:p>
      <w:r>
        <w:t>S'avérant manifestement infondé, il est rejeté dans une procédure à juge unique, avec l'approbation d'un second juge (art. 111 let. e LAsi). Vu l'issue de la cause, il est, en outre, renoncé à un échange d'écritures (art. 111a al. 1 LAsi).</w:t>
      </w:r>
    </w:p>
    <w:p>
      <w:r>
        <w:rPr>
          <w:b/>
        </w:rPr>
        <w:t>E. 8.1</w:t>
      </w:r>
    </w:p>
    <w:p>
      <w:r>
        <w:t>Dès lors qu'il est statué dans un arrêt immédiat, les demandes d'octroi de l'effet suspensif et d'exemption du versement d'une avance de frais deviennent sans objet.</w:t>
      </w:r>
    </w:p>
    <w:p>
      <w:r>
        <w:rPr>
          <w:b/>
        </w:rPr>
        <w:t>E. 8.2</w:t>
      </w:r>
    </w:p>
    <w:p>
      <w:r>
        <w:t>Les conclusions du recours étant d'emblée vouées à l'échec, la demande d'assistance judiciaire partielle est rejetée (art. 65 al. 1 PA et art. 102m al. 1 LAsi).</w:t>
      </w:r>
    </w:p>
    <w:p>
      <w:r>
        <w:rPr>
          <w:b/>
        </w:rPr>
        <w:t>E. 8.3</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