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F-4767/2023 vom 30. September 2024</w:t>
      </w:r>
    </w:p>
    <w:p>
      <w:r>
        <w:t>Bundesverwaltungsgericht, 2024-09-30, FR</w:t>
      </w:r>
    </w:p>
    <w:p>
      <w:r>
        <w:rPr>
          <w:b/>
        </w:rPr>
        <w:t xml:space="preserve">Quelle: </w:t>
      </w:r>
      <w:r>
        <w:t>https://mcp.opencaselaw.ch/entscheid/bvger_F-4767_2023</w:t>
      </w:r>
    </w:p>
    <w:p>
      <w:r>
        <w:t>FR: TAF F-4767/2023 du 30 septembre 2024</w:t>
      </w:r>
    </w:p>
    <w:p>
      <w:r>
        <w:t>IT: TAF F-4767/2023 del 30 settembre 2024</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à l'art. 33 LTAF. En particulier, les décisions en matière d'octroi de la naturalisation facilitée prononcées par le SEM - lequel constitue une unité de l'administration fédérale telle que définie à l'art. 33 let. d LTAF - sont susceptibles de recours au Tribunal, lequel statue comme autorité précédant le Tribunal fédéral (ci-après : TF ; art. 1 al. 2 LTAF en relation avec l'art. 83 let. b a contrario LTF [RS 173.110]).</w:t>
      </w:r>
    </w:p>
    <w:p>
      <w:r>
        <w:rPr>
          <w:b/>
        </w:rPr>
        <w:t>E. 1.2</w:t>
      </w:r>
    </w:p>
    <w:p>
      <w:r>
        <w:t>A moins que la LTAF n'en dispose autrement, la procédure devant le Tribunal est régie par la PA (art. 37 LTAF et art. 47 al. 1 de la loi du 20 juin 2014 sur la nationalité suisse [LN, RS 141.0]).</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ATF 140 III 86 consid. 2). Dans son arrêt, elle prend en considération l'état de fait existant au moment où elle statue (cf. ATAF 2020 VII/4 consid. 2.2).</w:t>
      </w:r>
    </w:p>
    <w:p>
      <w:r>
        <w:rPr>
          <w:b/>
        </w:rPr>
        <w:t>E. 3.1</w:t>
      </w:r>
    </w:p>
    <w:p>
      <w:r>
        <w:t>L’art. 21 al. 1 LN dispose que quiconque possède une nationalité étrangère peut, ensuite de son mariage avec un citoyen suisse, former une demande de naturalisation facilitée s’il vit depuis trois ans en union</w:t>
      </w:r>
    </w:p>
    <w:p>
      <w:r>
        <w:t>F-4767/2023 Page 5 conjugale avec son conjoint (let. a) et a séjourné en Suisse pendant cinq ans en tout, dont l’année ayant précédé le dépôt de la demande (let. b).</w:t>
      </w:r>
    </w:p>
    <w:p>
      <w:r>
        <w:rPr>
          <w:b/>
        </w:rPr>
        <w:t>E. 3.2</w:t>
      </w:r>
    </w:p>
    <w:p>
      <w:r>
        <w:t>Selon l’art. 20 al. 1 LN, les critères d’intégration fixés à l’art. 12 al. 1 et 2 LN doivent être respectés dans le cas d’une naturalisation facilitée.</w:t>
      </w:r>
    </w:p>
    <w:p>
      <w:r>
        <w:rPr>
          <w:b/>
        </w:rPr>
        <w:t>E. 3.3</w:t>
      </w:r>
    </w:p>
    <w:p>
      <w:r>
        <w:t>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3.3.1</w:t>
      </w:r>
    </w:p>
    <w:p>
      <w:r>
        <w:t>Les critères d’intégration énumérés à l’art. 12 al. 1 LN sont cumulatifs (cf. arrêts du TAF F-5233/2022 du 5 septembre 2023 consid. 5.2 et réf. cit. ; F-4572/2021 du 17 août 2023 consid. 5 ; F-791/2021 du 9 janvier 2023 consid. 4.2 et réf. cit.). Ainsi, le non-respect de l’un des critères par un requérant permet à l’autorité de faire l’économie de l’examen des autres (cf. arrêts du TAF F-4959/2023 du 7 mai 2024 consid. 3.2 ; F-4191/2023 du 14 décembre 2023 consid. 4.2).</w:t>
      </w:r>
    </w:p>
    <w:p>
      <w:r>
        <w:rPr>
          <w:b/>
        </w:rPr>
        <w:t>E. 3.3.2</w:t>
      </w:r>
    </w:p>
    <w:p>
      <w:r>
        <w:t>S’agissant des compétences linguistiques, les exigences sont précisées à l’art. 6 de l’ordonnance du 17 juin 2016 sur la nationalité suisse (OLN, RS 141.01). A teneur de l’art. 6 al. 1 OLN, le requérant doit justifier de connaissances orales d’une langue nationale équivalant au moins au niveau B1 du cadre européen commun de référence pour les langues et de compétences écrites du niveau A2 au minimum. La preuve des compétences linguistiques est réputée fournie notamment lorsque le requérant dispose d’une attestation qui confirme ses compétences linguistiques et repose sur une procédure d’attestation conforme aux normes de qualité généralement reconnues en matière de tests linguistiques (art. 6 al. 2 let. d OLN).</w:t>
      </w:r>
    </w:p>
    <w:p>
      <w:r>
        <w:rPr>
          <w:b/>
        </w:rPr>
        <w:t>E. 3.4</w:t>
      </w:r>
    </w:p>
    <w:p>
      <w:r>
        <w:t>En vertu de l’art. 12 al. 2 LN, la situation des personnes qui, du fait d’un handicap ou d’une maladie ou pour d’autres raisons personnelles majeures, ne remplissent pas ou remplissent difficilement les critères</w:t>
      </w:r>
    </w:p>
    <w:p>
      <w:r>
        <w:t>F-4767/2023 Page 6 d’intégration prévus à l’al. 1, let. c et d, est prise en compte de manière appropriée. Les motifs de dérogation sont précisés à l’art. 9 OLN.</w:t>
      </w:r>
    </w:p>
    <w:p>
      <w:r>
        <w:rPr>
          <w:b/>
        </w:rPr>
        <w:t>E. 3.4.1</w:t>
      </w:r>
    </w:p>
    <w:p>
      <w:r>
        <w:t>Conformément à cette dernière disposition, il est possible de déroger aux critères énumérés aux art. 6, 7 et 11 al. 1 let. b OLN notamment lorsque le requérant ne peut pas les remplir ou ne peut les remplir que difficilement (a) en raison d’un handicap physique, mental ou psychique, (b) en raison d’une maladie grave ou de longue durée ou (c) pour d’autres raisons personnelles majeures, telles que de grandes difficultés à apprendre, à lire et à écrire (ch. 1), un état de pauvreté malgré un emploi (ch. 2), des charges d’assistance familiale à assumer (ch. 3) ou une dépendance à l’aide sociale résultant d’une première formation formelle en Suisse, pour autant que la dépendance n’ait pas été causée par le comportement du requérant (ch. 4).</w:t>
      </w:r>
    </w:p>
    <w:p>
      <w:r>
        <w:rPr>
          <w:b/>
        </w:rPr>
        <w:t>E. 3.4.2</w:t>
      </w:r>
    </w:p>
    <w:p>
      <w:r>
        <w:t>Il est ainsi possible de déroger aux critères d’intégration en cas de handicap physique, mental ou psychique qui entrave le candidat à la naturalisation dans sa vie quotidienne à un point tel qu’il ne puisse dans un proche avenir être à même de remplir les conditions fixées pour obtenir la naturalisation (cf. Département fédéral de justice et police [DFJP], Rapport explicatif – Projet d’ordonnance relative à la loi sur la nationalité, 04.2016, p. 20, &lt; https://www.sem.admin.ch/dam/sem/fr/data/aktuell/gesetzgebung/ buev/entw-ber-f.pdf.download.pdf/entw-ber-f.pdf &gt;, consulté le 19.09.2024).</w:t>
      </w:r>
    </w:p>
    <w:p>
      <w:r>
        <w:rPr>
          <w:b/>
        </w:rPr>
        <w:t>E. 3.4.3</w:t>
      </w:r>
    </w:p>
    <w:p>
      <w:r>
        <w:t>En cas de maladie, les dérogations ne semblent justifiées que lorsque la personne concernée est entravée par celle-ci au point de ne pas pouvoir remplir dans un proche avenir les conditions fixées pour obtenir la naturalisation. Il s’agit, en règle générale, de maladies d’une certaine gravité et/ou qui s’étendent sur une période prolongée et sont, dans le pire des cas, incurables. Font notamment partie de ces maladies les handicaps importants de la vue et de l’ouïe, les maladies mentales et le cancer (cf. DJFP, op. cit., p. 20 s.).</w:t>
      </w:r>
    </w:p>
    <w:p>
      <w:r>
        <w:rPr>
          <w:b/>
        </w:rPr>
        <w:t>E. 4.1</w:t>
      </w:r>
    </w:p>
    <w:p>
      <w:r>
        <w:t>Dans la décision attaquée, le SEM a relevé que l’intéressé n’avait joint aucun document attestant ses compétences linguistiques à sa requête de naturalisation facilitée. Il a rappelé que c’est à sa demande que le recourant a transmis un passeport des langues faisant état d’un niveau de français B1 à l’oral et qu’il a fallu de nombreuses prolongations de délai pour que celui-ci produise finalement deux passeports des langues indiquant un niveau de français A1 à l’écrit. Soulignant que A._______ était arrivé en</w:t>
      </w:r>
    </w:p>
    <w:p>
      <w:r>
        <w:t>F-4767/2023 Page 7 Suisse il y a 30 ans, était marié à une ressortissante de ce pays depuis plus de huit ans et avait travaillé comme détective privé indépendant jusqu’en 2020, l’autorité intimée a retenu qu’il pouvait être raisonnablement attendu de lui qu’il dispose à l’écrit du niveau A2 requis. En outre, elle a considéré que les certificats médicaux versés au dossier ne suffisaient pas pour octroyer au prénommé une dérogation s’agissant de ses connaissances linguistiques. En effet, elle a estimé que les troubles de concentration invoqués ne pouvaient être assimilés à un handicap ou à une maladie grave, respectivement de longue durée, au sens de l’art. 9 OLN.</w:t>
      </w:r>
    </w:p>
    <w:p>
      <w:r>
        <w:rPr>
          <w:b/>
        </w:rPr>
        <w:t>E. 4.2</w:t>
      </w:r>
    </w:p>
    <w:p>
      <w:r>
        <w:t>A l’appui de son recours, l’intéressé a soutenu qu’en raison des séquelles de l’accident de la circulation routière subi le 8 novembre 2021, étayées par plusieurs rapports médicaux, une dérogation au critère d’intégration ancré à l’art. 12 al. 1 let. d (recte : let. c) LN devait être admise. Remplissant les autres conditions légales, il a conclu que la naturalisation facilitée devait lui être octroyée. Le recourant a, par ailleurs, fait valoir une violation du principe de l’égalité de traitement en cas de non- reconnaissance de ses problèmes de santé comme motifs justifiant une telle dérogation. En outre, ayant réalisé 73% des points à l’examen testant ses connaissances écrites de français alors que l’obtention de 77% (recte : 76%) des points permet d’atteindre le niveau A2, il a argué qu’un refus d’octroi de la naturalisation facilitée était disproportionné.</w:t>
      </w:r>
    </w:p>
    <w:p>
      <w:r>
        <w:rPr>
          <w:b/>
        </w:rPr>
        <w:t>E. 5.1</w:t>
      </w:r>
    </w:p>
    <w:p>
      <w:r>
        <w:t>En l’espèce, le recourant n’a pas contesté qu’il n’avait pas attesté du niveau écrit de français requis par l’art. 12 al. 1 let. c LN en relation avec l’art. 6 al. 1 OLN. Il sied toutefois d’examiner si c’est à bon droit qu’il a soutenu qu’une dérogation au sens de l’art. 9 OLN se justifiait.</w:t>
      </w:r>
    </w:p>
    <w:p>
      <w:r>
        <w:rPr>
          <w:b/>
        </w:rPr>
        <w:t>E. 5.2</w:t>
      </w:r>
    </w:p>
    <w:p>
      <w:r>
        <w:t>A teneur du rapport médical du 7 septembre 2022, établi par un médecin qui est spécialiste en oto-rhino-laryngologie (ORL) et chirurgien cervico-facial, l’intéressé souffre de vertiges rotatoires et de sifflements d’oreilles permanents depuis l’accident du 24 (recte : 8) novembre 2021. Il a également fait état de céphalées en casque en permanence. Il ressort, en outre, du rapport médical du 19 décembre 2022 que A._______ a déclaré présenter, à la suite de cet accident, des troubles de concentration, des céphalées intermittentes, des troubles de l’équilibre mal systématisés et une gêne auditive. Ce second médecin spécialiste en ORL a conclu qu’il semblait plutôt s’agir de possibles symptômes post-commotionnels aggravés par un syndrome post-traumatique. De plus, le psychiatre et psychothérapeute ayant rédigé l’attestation médicale du 25 août 2023 a indiqué que ledit accident avait laissé une grande difficulté de</w:t>
      </w:r>
    </w:p>
    <w:p>
      <w:r>
        <w:t>F-4767/2023 Page 8 concentration, des céphalées intermittentes et des pertes de l’équilibre. Il a retenu un trouble de l’attention empêchant le prénommé d’être « concentré plus de 30 minutes, raison pour laquelle le niveau requis lors de l’examen FIDE écrit n’a pas été atteint et il ne lui manquait que 3 points » (cf. attestation médicale du 25 août 2023). Dans le dernier certificat médical joint au recours et daté du 30 août 2023, le médecin généraliste a relevé que le recourant gardait de l’accident précité des séquelles à type de difficultés d’attention et de concentration, des maux de tête chroniques, des vertiges et un syndrome anxiodépressif devenu chronique.</w:t>
      </w:r>
    </w:p>
    <w:p>
      <w:r>
        <w:rPr>
          <w:b/>
        </w:rPr>
        <w:t>E. 5.3</w:t>
      </w:r>
    </w:p>
    <w:p>
      <w:r>
        <w:t>Tout d’abord, il ne fait guère de doute que l’intéressé a gardé des séquelles de l’accident de la route subi le 24 novembre 2021. Les documents médicaux produits au stade du recours font ainsi tous état de vertiges ainsi que de céphalées et trois d’entre eux indiquent des problèmes de concentration. Le Tribunal ne minimise nullement ces troubles ni les traumatismes qui ont découlé de cet accident. Il n’en demeure pas moins que les problèmes de santé de A._______ ne sont assimilables ni à un handicap ni à une maladie au sens de l’art. 9 OLN (cf. supra, consid. 3.4.1 ss). Nonobstant les impacts qu’ils ont dans la vie du prénommé, les troubles précités n’atteignent pas le degré de gravité permettant à celui-ci d’être dispensé de produire une attestation de ses compétences linguistiques. A cet égard, le Tribunal signale, à l’instar de l’autorité intimée, que le recourant a été en mesure de se soumettre à un examen testant ses connaissances écrites de français en septembre 2022, soit postérieurement à l’accident dont il a fait l’objet. L’intéressé a, de surcroît, été capable d’améliorer son résultat et est ainsi passé de 44% des points obtenus lors de sa première tentative à 73%, échouant à seulement 3% du seuil requis pour atteindre le niveau A2. En outre, c’est à juste titre que le SEM a relevé la possibilité pour A._______ de demander, au besoin, un aménagement des modalités d’examen. En effet, les centres d’examen accrédités fide offrent aux participants ayant des déficiences par exemple visuelles, auditives, de lecture ou d’écriture, etc. des conditions d’examen individuelles, sur présentation d’un certificat médical (cf. fide pour les apprenant-e-s de langue, FAQ – Frequently Asked Questions, &lt; https://fide-service.ch/fr/faq &gt;, consulté le 19.09.2024). Au demeurant, depuis le temps que le recourant séjourne en Suisse, il est douteux que le déficit linguistique (actuel) puisse être mis uniquement sur le compte des séquelles dudit accident.</w:t>
      </w:r>
    </w:p>
    <w:p>
      <w:r>
        <w:rPr>
          <w:b/>
        </w:rPr>
        <w:t>E. 5.4</w:t>
      </w:r>
    </w:p>
    <w:p>
      <w:r>
        <w:t>Dans ces circonstances, il n’y a pas lieu de faire application de l’art. 9 OLN et de dispenser le prénommé de justifier des connaissances</w:t>
      </w:r>
    </w:p>
    <w:p>
      <w:r>
        <w:t>F-4767/2023 Page 9 linguistiques requises par l’art. 12 al. 1 let. c LN en relation avec l’art. 6 al. 1 OLN.</w:t>
      </w:r>
    </w:p>
    <w:p>
      <w:r>
        <w:rPr>
          <w:b/>
        </w:rPr>
        <w:t>E. 6.1</w:t>
      </w:r>
    </w:p>
    <w:p>
      <w:r>
        <w:t>Par ailleurs, le recourant a invoqué une violation des art. 5 al. 2 et 8 Cst. (RS 101).</w:t>
      </w:r>
    </w:p>
    <w:p>
      <w:r>
        <w:rPr>
          <w:b/>
        </w:rPr>
        <w:t>E. 6.2</w:t>
      </w:r>
    </w:p>
    <w:p>
      <w:r>
        <w:t>Le principe de la proportionnalité, ancré en particulier à l’art. 5 al. 2 Cst., exige que la mesure envisagée soit apte à produire les résultats escomptés (règle de l'aptitude), que ceux-ci ne puissent être atteints par une mesure moins incisive (règle de la nécessité) et qu'il existe un rapport raisonnable entre le but visé par cette mesure et les intérêts publics ou privés compromis (principe de la proportionnalité au sens étroit ; cf. ATF 149 III 193 consid. 5.2 ; 145 I 297 consid. 2.4.3.1).</w:t>
      </w:r>
    </w:p>
    <w:p>
      <w:r>
        <w:rPr>
          <w:b/>
        </w:rPr>
        <w:t>E. 6.3</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(cf. ATF 141 I 153 consid. 5.1 ; arrêt du TF 8C_521/2022 du 26 avril 2023 consid. 7.2). Au principe d'égalité de traitement, l'art. 8 al. 2 Cst. ajoute une interdiction des discriminations. Il y a discrimination, au sens de cette disposition, lorsqu'une personne est traitée différemment en raison de son appartenance à un groupe particulier qui, historiquement ou dans la réalité sociale actuelle, souffre d'exclusion ou de dépréciation (cf. ATF 147 III 49 consid. 9.5).</w:t>
      </w:r>
    </w:p>
    <w:p>
      <w:r>
        <w:rPr>
          <w:b/>
        </w:rPr>
        <w:t>E. 6.4</w:t>
      </w:r>
    </w:p>
    <w:p>
      <w:r>
        <w:t>En l’occurrence et comme déjà mentionné, l’art. 12 al. 2 LN indique l’existence de dérogations aux critères d’intégration relatifs à l’aptitude à communiquer dans une langue nationale et à la participation à la vie économique, respectivement à l’acquisition d’une formation, lesquelles sont détaillées à l’art. 9 OLN. Ces dispositions ont été prévues précisément afin de respecter le principe de non-discrimination et le principe de la proportionnalité (cf. DFJP, op. cit., p. 18). Elles ont été dûment examinées en l’espèce et il a été conclu, pour les motifs retenus précédemment (cf. supra, consid. 5), qu’elles ne sauraient toutefois s’appliquer à l’intéressé. Au demeurant, le Tribunal relève que la présente procédure ne préjuge en rien d’une éventuelle future demande de naturalisation facilitée, qu’il reste loisible au recourant de déposer une fois qu’il aura atteint le niveau requis de français à l’écrit.</w:t>
      </w:r>
    </w:p>
    <w:p>
      <w:r>
        <w:t>F-4767/2023 Page 10</w:t>
      </w:r>
    </w:p>
    <w:p>
      <w:r>
        <w:rPr>
          <w:b/>
        </w:rPr>
        <w:t>E. 6.5</w:t>
      </w:r>
    </w:p>
    <w:p>
      <w:r>
        <w:t>Au vu de ce qui précède, l’autorité inférieure n’a pas violé les dispositions constitutionnelles précitées en rejetant la demande de l’intéressé.</w:t>
      </w:r>
    </w:p>
    <w:p>
      <w:r>
        <w:rPr>
          <w:b/>
        </w:rPr>
        <w:t>E. 7</w:t>
      </w:r>
    </w:p>
    <w:p>
      <w:r>
        <w:t>Il s'ensuit que, par sa décision du 9 août 2023, l'autorité intimée n'a ni violé le droit fédéral, ni constaté les faits pertinents de manière inexacte ou incomplète. En outre, cette décision n'est pas inopportune (art. 49 PA). Par conséquent, le recours est rejeté.</w:t>
      </w:r>
    </w:p>
    <w:p>
      <w:r>
        <w:rPr>
          <w:b/>
        </w:rPr>
        <w:t>E. 8</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Celui-ci n’a, par ailleurs, pas droit à des dépens (art. 64 al. 1 PA a contrario).</w:t>
      </w:r>
    </w:p>
    <w:p>
      <w:r>
        <w:t>(dispositif page suivante)</w:t>
      </w:r>
    </w:p>
    <w:p>
      <w:r>
        <w:t>F-4767/2023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