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F-4753/2015 vom 27. Juli 2016</w:t>
      </w:r>
    </w:p>
    <w:p>
      <w:r>
        <w:t>Bundesverwaltungsgericht, 2016-07-27, DE</w:t>
      </w:r>
    </w:p>
    <w:p>
      <w:r>
        <w:rPr>
          <w:b/>
        </w:rPr>
        <w:t xml:space="preserve">Quelle: </w:t>
      </w:r>
      <w:r>
        <w:t>https://mcp.opencaselaw.ch/entscheid/bvger_F-4753_2015</w:t>
      </w:r>
    </w:p>
    <w:p>
      <w:r>
        <w:t>FR: TAF F-4753/2015 du 27 juillet 2016</w:t>
      </w:r>
    </w:p>
    <w:p>
      <w:r>
        <w:t>IT: TAF F-4753/2015 del 27 luglio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63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Gestützt auf Art. 67 Abs. 1 AuG kann das SEM - unter Vorbehalt von Abs. 5 - ein Einreiseverbot gegenüber weggewiesenen Ausländerinnen und Ausländern verfügen, wenn die Wegweisung nach Art. 64d Abs. 2 Bst. a-c AuG sofort vollstreckt wird (Bst. a) oder diese nicht innerhalb der angesetzten Frist ausgereist sind (Bst. b). Gemäss Art. 67 Abs. 2 AuG kann das SEM weiter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welches die Einreise oder die Rückkehr einer unerwünschten Ausländerin oder eines unerwünschten Ausländers verhindern soll, stellt keine Sanktion für vergangenes Fehlverhalten dar, sondern ist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142.021)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ist im Einzelfall eine entsprechende Prognose zu stellen. Dabei ist naturgemäss in erster Linie das vergangene Verhalten der betroffenen Person zu berücksichtigen (vgl. Urteil des BVGer C-2894/2015 vom 2. Februar 2016 E. 4 m.H.).</w:t>
      </w:r>
    </w:p>
    <w:p>
      <w:r>
        <w:rPr>
          <w:b/>
        </w:rPr>
        <w:t>E. 3.3</w:t>
      </w:r>
    </w:p>
    <w:p>
      <w:r>
        <w:t>Was Verstösse gegen ausländerrechtliche Bestimmungen anbelangt, so ist für die Verhängung eines Einreiseverbots kein vorsätzliches Vergehen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BVGer C-6661/2014 vom 22. Oktober 2015 E. 6.4).</w:t>
      </w:r>
    </w:p>
    <w:p>
      <w:r>
        <w:rPr>
          <w:b/>
        </w:rPr>
        <w:t>E. 3.4</w:t>
      </w:r>
    </w:p>
    <w:p>
      <w:r>
        <w:t>Wird gegen eine Person, die nicht das Bürgerrecht eines EU-Mit­gliedstaates besitzt, ein Einreiseverbot verhängt, so wird sie nach Massgabe der Bedeutung des Falles im Schengener Informationssys­tem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Damit wird dem Betroffenen grund­sätzlich die Einreise in das Hoheitsgebiet aller Schengen-Staaten verbo­ten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4.1</w:t>
      </w:r>
    </w:p>
    <w:p>
      <w:r>
        <w:t>Die Vorinstanz stützt ihre Verfügung auf den Sachverhalt des in Rechtskraft erwachsenen Strafbefehls der Staatsanwaltschaft Limmattal/Albis vom 4. Juli 2015 ab, mit welchem der Beschwerdeführer wegen versuchter Widerhandlung gegen das Ausländergesetz im Zeitraum vom 22. März 2009 bis zum 13. August 2014 verurteilt wurde. Damit liege gemäss ständiger Praxis und Rechtsprechung ein ausreichender Grund für die Anordnung einer Fernhaltemassnahme im Sinne von Art. 67 AuG vor.</w:t>
      </w:r>
    </w:p>
    <w:p>
      <w:r>
        <w:rPr>
          <w:b/>
        </w:rPr>
        <w:t>E. 4.2</w:t>
      </w:r>
    </w:p>
    <w:p>
      <w:r>
        <w:t>Mit Beschwerde vom 5. August 2015 liess der Beschwerdeführer durch seinen Rechtsvertreter vorbringen, dass dieser bei seiner Einreise im Juni 2015 über einen gültigen Reisepass und einen Aufenthaltstitel eines Schengen-Staates verfügt habe. Als Einreisegrund gibt er an, dass der Beschwerdeführer seine in C._______ wohnhafte und unterstützungsbedürftige Tante besuchten wollte.</w:t>
      </w:r>
    </w:p>
    <w:p>
      <w:r>
        <w:rPr>
          <w:b/>
        </w:rPr>
        <w:t>E. 4.3</w:t>
      </w:r>
    </w:p>
    <w:p>
      <w:r>
        <w:t>Dass der Beschwerdeführer bei seiner Festnahme in B._______ am 2. Juli 2015 einen gültigen Reisepass von Guinea-Bissau (ausgestellt am 3. November 2011) sowie einen Aufenthaltstitel von Portugal (gültig seit 8. Januar 2013 bis 3. Januar 2017) mit sich führte (kant.-act. 175/176) hat die Vorinstanz zwar in ihrer Verfügung, nicht jedoch in ihrer Vernehmlassung ausser Acht gelassen, hatte der Beschwerdeführer sich doch im Zeitraum zwischen dem 22. März 2009 bis zu seiner definitiven Ausschaffung am 13. August 2014 als Y._______ ausgegeben und mit dieser Täuschung der Behörden die Grundlage für die Verurteilung am 4. Juli 2015 gelegt.</w:t>
      </w:r>
    </w:p>
    <w:p>
      <w:r>
        <w:rPr>
          <w:b/>
        </w:rPr>
        <w:t>E. 4.4</w:t>
      </w:r>
    </w:p>
    <w:p>
      <w:r>
        <w:t>Somit kann festgehalten werden, dass der Beschwerdeführer während seines Asyl- und Ausschaffungsverfahrens, obwohl er im Besitz offizieller Dokumente war, diese der zuständigen Behörde nicht aushändigte bzw. diese nicht darüber in Kenntnis gesetzt hat. Auch kurz vor seiner Ausschaffung in sein Heimatland hat der Beschwerdeführer in der polizeilichen Einvernahme zum rechtlichen Gehör betreffend die Ausschaffungshaft durch die Kantonspolizei Zürich am 14. Mai 2014 wiederum verneint, dass er im Besitz einer Aufenthaltsbewilligung für einen Schengen-Staat sei (kant.-act. 130, Ziff. 12). Aufgrund der Aktenlage ist somit davon auszugehen, dass der Beschwerdeführer durch sein Verhalten und seine Verurteilungen einen hinreichenden Grund für eine Fernhaltemassnahme gesetzt hat.</w:t>
      </w:r>
    </w:p>
    <w:p>
      <w:r>
        <w:rPr>
          <w:b/>
        </w:rPr>
        <w:t>E. 5.1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und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Der Beschwerdeführer hat über einen längeren Zeitraum die Behörden getäuscht, indem er bei der Beschaffung gültiger Reisepapiere seine Mitwirkungspflicht verweigert hat und seine wahre Identität - obwohl er im Besitz eines gültigen Reisepasses als auch eines Aufenthaltstitels in einem Schengen-Staat war - nicht Preis gab. Solches Fehlverhalten wiegt objektiv gesehen schwer, zumal der Beschwerdeführer mehrmals Gelegenheit gehabt hätte, sich gegenüber den zuständigen Behörden kooperativ zu zeigen (letztmals am 14. Mai 2014 siehe E. 4.4). Den ausländerrechtlichen Normen kommt im Interesse einer funktionierenden Rechtsordnung eine hohe Bedeutung zu. Namentlich das generalpräventiv motivierte Interesse, die ausländerrechtliche Ordnung durch eine konsequente Massnahmenpraxis zu schützen, ist als gewichtig einzustufen (zur Zulässigkeit der Berücksichtigung generalpräventiver Aspekte vgl. Urteil des BGer 2C_516/2014 vom 24. März 2015 E. 4.3.2 m.H.). Überdies liegt eine spezialpräventive Zielsetzung der Massnahme darin, dass sie den Betroffenen ermahnt, bei einer allfälligen künftigen Wiedereinreise in die Schweiz nach Ablauf der Dauer des Einreiseverbots die für ihn geltenden Regeln einzuhalten (vgl. Urteil des BVGer C-2336/2014 vom 13. Januar 2016 E. 6.2 m.H.). Es besteht somit ein gewichtiges öffentliches Interesse an der Fernhaltung des Beschwerdeführers.</w:t>
      </w:r>
    </w:p>
    <w:p>
      <w:r>
        <w:rPr>
          <w:b/>
        </w:rPr>
        <w:t>E. 5.3</w:t>
      </w:r>
    </w:p>
    <w:p>
      <w:r>
        <w:t>Den öffentlichen Interessen sind die privaten Interessen des Beschwerdeführers gegenüberzustellen. Erstmals macht er in der Beschwerdeschrift vom 5. August 2015 geltend, dass das verhängte Einreiseverbot ein schwerer Eingriff in das geschützte Recht auf Achtung des Familienlebens darstelle (Art. 8 EMRK und Art. 13 BV). In seiner Replik vom 12. Oktober 2015 führt er weiter aus, dass ihm durch das verhängte Einreiseverbot, die Besuche bei seiner krebskranken Tante, die in C._______ wohne, verunmöglicht würden. Diese sei auf seine regelmässige Hilfe angewiesen und er möchte sie alle zwei Monate für einige Tage besuchen können.</w:t>
      </w:r>
    </w:p>
    <w:p>
      <w:r>
        <w:rPr>
          <w:b/>
        </w:rPr>
        <w:t>E. 5.4</w:t>
      </w:r>
    </w:p>
    <w:p>
      <w:r>
        <w:t>Damit Art. 13 Abs. 1 BV und Art. 8 EMRK im Rahmen ausländerrechtlicher Massnahmen angerufen werden können, setzt das BGer voraus, dass eine familiäre Beziehung der ausländischen Person mit einem Anwesenheitsrecht (Schweizer Bürgerrecht oder Niederlassungsbewilligung) oder zumindest mit einem festen Rechtsanspruch auf Verlängerung einer Aufenthaltsbewilligung besteht (vgl. Stephan Breitenmoser/Rainer J. Schweizer, in: Die schweizerische Bundesverfassung, Kommentar, 3. Aufl. 2014, Rz. 47 zu Art. 13 BV; BGE 127 II 60 E. 1 d/aa).</w:t>
      </w:r>
    </w:p>
    <w:p>
      <w:r>
        <w:rPr>
          <w:b/>
        </w:rPr>
        <w:t>E. 5.5</w:t>
      </w:r>
    </w:p>
    <w:p>
      <w:r>
        <w:t>Tatsache ist, dass der Beschwerdeführer am 2. Juli 2015 in B._______ aufgegriffen wurde und er an der am Tag darauffolgenden polizeilichen Einvernahme seine in C._______ wohnhafte und pflegebedürftige Tante nicht erwähnte, im Gegenteil ausdrücklich sagte, dass keine Angehörigen benachrichtigt werden sollen (kant.-act. 184, Ziff. 7). Weiter gab er zu Protokoll, dass er seit seiner Ankunft in der Schweiz in einem kleinen Hotel in Zürich gewohnt habe und er gekommen sei, um Freunde zu besuchen (kant.-act. 184 ff., Ziff. 17 und 25). Auf die Frage, weshalb er sich bei der Papierbeschaffung im Asylverfahren als Y._______ ausgegeben habe, meinte er, dass er dies als Asylbewerber getan habe. Jetzt sei er kein Asylbewerber mehr und habe seine echten Personalien angegeben (kant.-act. 187, Ziff. 34).</w:t>
      </w:r>
    </w:p>
    <w:p>
      <w:r>
        <w:rPr>
          <w:b/>
        </w:rPr>
        <w:t>E. 5.6</w:t>
      </w:r>
    </w:p>
    <w:p>
      <w:r>
        <w:t>Es kann somit festgehalten werden, dass der Beschwerdeführer nicht über die vom BGer verlangten Voraussetzungen verfügt - weder über einen Aufenthaltstitel in der Schweiz noch dass er eine tatsächlich gelebte und mit einer gewissen Intensität und Stabilität ausgewiesene Beziehung zu seiner Tante pflegt (vgl. Breitenmoser/Schweizer, a.a.O., Rz. 34 zu Art. 13 BV). Dieses private Interesse vermag somit die Aufhebung des Einreiseverbotes nicht zu rechtfertigen. Abgesehen davon sind dem Beschwerdeführer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w:t>
      </w:r>
    </w:p>
    <w:p>
      <w:r>
        <w:rPr>
          <w:b/>
        </w:rPr>
        <w:t>E. 5.7</w:t>
      </w:r>
    </w:p>
    <w:p>
      <w:r>
        <w:t>Das verhängte dreijährige Einreiseverbot stellt somit sowohl im Grundsatz als auch hinsichtlich der Dauer eine verhältnismässige und angemessene Massnahme zum Schutz der öffentlichen Sicherheit und Ordnung dar.</w:t>
      </w:r>
    </w:p>
    <w:p>
      <w:r>
        <w:rPr>
          <w:b/>
        </w:rPr>
        <w:t>E. 6.1</w:t>
      </w:r>
    </w:p>
    <w:p>
      <w:r>
        <w:t>Zu prüfen bleibt die Rechtmässigkeit der von der Vorinstanz angeordneten Ausschreibung des Einreiseverbots im SIS. In diesem Zusammenhang macht der Beschwerdeführer geltend, dass er seit dem 8. Januar 2013 im Besitz eines portugiesischen Aufenthaltstitels sei.</w:t>
      </w:r>
    </w:p>
    <w:p>
      <w:r>
        <w:rPr>
          <w:b/>
        </w:rPr>
        <w:t>E. 6.2</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SGK).</w:t>
      </w:r>
    </w:p>
    <w:p>
      <w:r>
        <w:rPr>
          <w:b/>
        </w:rPr>
        <w:t>E. 6.3</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SIS-II-VO).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planen (Art. 24 Ziff. 2 Bst. b SIS-II-VO).</w:t>
      </w:r>
    </w:p>
    <w:p>
      <w:r>
        <w:rPr>
          <w:b/>
        </w:rPr>
        <w:t>E. 6.4</w:t>
      </w:r>
    </w:p>
    <w:p>
      <w:r>
        <w:t>Der Beschwerdeführer kann als Drittstaatangehöriger grundsätzlich zur Einreise- und Aufenthaltsverweigerung im SIS ausgeschrieben werden. Auch wenn die vom Beschwerdeführer begangene Straftat nicht explizit in Art. 24 SIS-II-VO aufgeführt ist, so hat die Vorinstanz gestützt auf die Ereignisse zwischen März 2009 und August 2014 und die damals gültige Aktenlage die Ausschreibung im SIS zu Recht verfügt.</w:t>
      </w:r>
    </w:p>
    <w:p>
      <w:r>
        <w:rPr>
          <w:b/>
        </w:rPr>
        <w:t>E. 7</w:t>
      </w:r>
    </w:p>
    <w:p>
      <w:r>
        <w:t>Aus diesen Erwägungen ergibt sich, dass die angefochtene Verfügung im Lichte von Art. 49 VwVG nicht zu beanstanden ist. Dies gilt auch für die Ausschreibung im SIS, solange Portugal beim SIRENE Büro Schweiz kein entsprechendes Löschungsbegehren stellt.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