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F-4737/2019 vom 23. Juni 2020</w:t>
      </w:r>
    </w:p>
    <w:p>
      <w:r>
        <w:t>Bundesverwaltungsgericht, 2020-06-23, FR</w:t>
      </w:r>
    </w:p>
    <w:p>
      <w:r>
        <w:rPr>
          <w:b/>
        </w:rPr>
        <w:t xml:space="preserve">Quelle: </w:t>
      </w:r>
      <w:r>
        <w:t>https://mcp.opencaselaw.ch/entscheid/bvger_F-4737_2019</w:t>
      </w:r>
    </w:p>
    <w:p>
      <w:r>
        <w:t>FR: TAF F-4737/2019 du 23 juin 2020</w:t>
      </w:r>
    </w:p>
    <w:p>
      <w:r>
        <w:t>IT: TAF F-4737/2019 del 23 giugno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 qualité pour agir (art. 48 PA). Présenté dans la forme et les délais prescrits par la loi, le recours est recevable (cf.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àl'Annexe 1, ch. 1 LEI, ne contiennent pas de dispositions divergentes (cf. art. 2 al. 4 et 5 LEI).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En outre, les demandeurs d'un visa de court séjour doivent prouver qu'ils sont titulaires d'une assurance médicale de voyage au sens de l'art. 15 du code des visas (art. 17 al. 1 OEV).</w:t>
      </w:r>
    </w:p>
    <w:p>
      <w:r>
        <w:rPr>
          <w:b/>
        </w:rPr>
        <w:t>E. 4.2</w:t>
      </w:r>
    </w:p>
    <w:p>
      <w:r>
        <w:t>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w:t>
      </w:r>
    </w:p>
    <w:p>
      <w:r>
        <w:rPr>
          <w:b/>
        </w:rPr>
        <w:t>E. 4.3</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al. 5, art. 11 let. b OEV ; art. 32 par. 1 en relation avec l'art. 25 par. 1 let. a et par. 2 du code des visas et art. 6 par. 5 let. a et c du code frontières Schengen).</w:t>
      </w:r>
    </w:p>
    <w:p>
      <w:r>
        <w:rPr>
          <w:b/>
        </w:rPr>
        <w:t>E. 4.5</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en ses art. 1 et 3, les ressortissants des Etats tiers selon qu'ils sont soumis ou non à l'obligation du visa (cf. art. 8 al. 1 OEV). En tant que ressortissants turcs, les invités sont soumis à l'obligation du visa (cf. annexe I des règlements susmentionnés).</w:t>
      </w:r>
    </w:p>
    <w:p>
      <w:r>
        <w:rPr>
          <w:b/>
        </w:rPr>
        <w:t>E. 5</w:t>
      </w:r>
    </w:p>
    <w:p>
      <w:r>
        <w:t>Il s'agit de déterminer si le retour des invités dans leur pays d'origine à l'issue de leur séjour en Suisse est suffisamment garanti.</w:t>
      </w:r>
    </w:p>
    <w:p>
      <w:r>
        <w:rPr>
          <w:b/>
        </w:rPr>
        <w:t>E. 5.1</w:t>
      </w:r>
    </w:p>
    <w:p>
      <w:r>
        <w:t>Au préalable, il y a lieu de rappeler que, selon la pratique constante des autorités, une autorisation d'entrée en Suisse ne peut être, en principe, délivrée à des étrangers dont le retour dans leur pays n'est pas assuré, soit en raison de la situation politique ou économique prévalant dans celui-ci, soit en raison de la situation personnelle de la personne requérante (cf., entre 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5.2</w:t>
      </w:r>
    </w:p>
    <w:p>
      <w:r>
        <w:t>Force est de constater que les conditions socio-économiques, et non seulement politiques, prévalant en Turquie peuvent générer une certaine pression migratoire (cf. &lt; https://www.diplomatie.gouv.fr/fr/dossiers-pays/ turquie/presentation-de-la-turquie/ &gt;, site consulté en juin 2020 et arrêts du TAF F-7198/2017 du 16 novembre 2018 consid. 5.1 et F-1508/2017 du 23 juin 2017 consid. 5.3). Cette tendance migratoire est encore renforcée, comme l'expérience l'a démontré, lorsque la personne concernée peut s'appuyer à l'étranger sur un réseau social (parents, amis) préexistant, comme cela est le cas en l'espèce (cf. parmi d'autres, arrêts du TAF C-707/2012 du 16 novembre 2012 consid. 6.3 et TAF D-4107/2014 du 24 août 2015 consid. 4). Il se justifie en outre de se montrer d'autant plus rigoureux dans l'appréciation des intérêts privés de l'invité lorsque les conditions de vie dans son pays d'origine sont défavorables (cf. arrêts du TAF F-4182/2018 du 24 mars 2020 consid. 8.1 et F-5229/2019 du 20 mars 2020 consid. 5.1).</w:t>
      </w:r>
    </w:p>
    <w:p>
      <w:r>
        <w:rPr>
          <w:b/>
        </w:rPr>
        <w:t>E. 5.3</w:t>
      </w:r>
    </w:p>
    <w:p>
      <w:r>
        <w:t>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Il convient dès lors d'examiner si, en l'état, la situation personnelle, familiale, financière et sociale des invités plaide en faveur d'un retour ponctuel de sa part dans son pays d'origine.</w:t>
      </w:r>
    </w:p>
    <w:p>
      <w:r>
        <w:rPr>
          <w:b/>
        </w:rPr>
        <w:t>E. 5.4</w:t>
      </w:r>
    </w:p>
    <w:p>
      <w:r>
        <w:t>En l'espèce, si les intéressés ont des attaches familiales et sociales certaines dans leur pays d'origine, notamment en la personne de leur mère, celles-ci ne sont pas suffisantes pour considérer que leur retour dans leur pays d'origine est hautement vraisemblable. Premièrement, comme le souligne à juste titre le SEM, on remarquera que le recourant et son épouse ont déposé en 2015 une demande de regroupement familial hors délai afin que les intéressés puissent vivre auprès d'eux. Dans ce cadre, ils ont argué que la mère des enfants et les autres membres de la famille ne pouvaient offrir un soutien suffisant et prétendu que la situation sécuritaire dans la région dans laquelle ils habitaient était précaire, de sorte qu'il fallait admettre un cas de rigueur. Cette demande a été rejetée définitivement en décembre 2018 ; le Tribunal fédéral a d'ailleurs retenu que ladite demande visait principalement à l'admission facilitée sur le marché du travail suisse des intéressés plutôt que la formation d'une véritable communauté familiale (pce SYMIC 1 p. 42). Quoique tente de faire accroire le recourant, les allégations et constatations faites dans le cadre de cette demande parlent fortement en défaveur d'une sortie de Suisse à l'échéance du visa sollicité. Ce fait plaide d'autant plus en défaveur des intéressés que le rejet de la demande de regroupement est encore récent (cf. notamment arrêt du TAF C-5930/2007 du 19 août 2008). Dans ces circonstances et pour autant que le recourant le soulève, le SEM était légitimé, par une appréciation anticipée des preuves, à renoncer à auditionner le recourant pour le questionner sur le but du séjour sollicité (pce TAF 1 p. 8 ; cf. notamment arrêt du TAF F-910/2018 du 18 février 2020 consid. 9.2). Ensuite, le Tribunal note que les intéressés sont célibataires et sans enfants - étant rappelé qu'ils ne sont âgés que de 20, 17 et 15 ans. Quant à leurs autres attaches, on remarquera que le recourant fait simplement valoir que ses enfants poursuivent une formation, sans estimer utile de donner de plus amples informations à ce sujet. Le dossier ne contient en outre aucune pièce concernant le benjamin et les attestations en turc versées en cause pour l'aîné et le cadet ne font état d'une qualité d'étudiant que depuis le début de l'année 2019 (pce SYMIC 3 p. 151 et 3 p. 155), soit peu après le rejet de la demande de regroupement familial. Dans ces conditions, il est fort douteux que les invités aient de sérieuses raisons de retourner chez eux à (...). En outre, contrairement à ce qu'il prétend, il n'est pas arbitraire ou discriminatoire de tenir compte des ressources financières ou des attaches économiques des invités dans le cadre de l'examen d'un retour au pays à l'issue du visa demandé (cf. consid. 5.1 supra). Enfin, le long argumentaire concernant l'intégration et le respect de l'ordre public par l'hôte n'est pas pertinent ; cette argumentation est d'ailleurs d'autant plus malvenue que le recourant a par le passé violé le droit des étrangers précisément (pce SYMIC 1 [arrêt du Tribunal fédéral du 4 décembre 2018, p. 2]).</w:t>
      </w:r>
    </w:p>
    <w:p>
      <w:r>
        <w:rPr>
          <w:b/>
        </w:rPr>
        <w:t>E. 5.5</w:t>
      </w:r>
    </w:p>
    <w:p>
      <w:r>
        <w:t>Au demeurant, contrairement à ce que semble croire le recourant, le refus d'autorisation ne constitue pas une ingérence inadmissible dans l'exercice du droit au respect de la vie privée et familiale consacré par l'art. 8 CEDH, lequel protège avant tout les relations familiales entre époux et entre parents et enfants mineurs, et ne viole pas la CDE. Ainsi, concernant le grief relatif à la CDE il est infondé, étant donné que les intéressés ne relèvent pas de la juridiction de la Suisse au sens de l'art. 2 al. 1 CDE. En outre, il convient de noter que cette convention n'accorde ni à l'enfant, ni à ses parents (et donc, a fortiori, ni à un membre éloigné de la famille) un droit à la réunion de la famille ou une prétention directe à l'obtention d'une autorisation de séjour (cf. ATF 135 I 153 consid. 2.2.2 in fine). Concernant l'art. 8 CEDH, il n'y a pas atteinte à la vie familiale et privée si l'on peut attendre des membres de la famille qu'ils réalisent leur vie de famille à l'étranger (cf. notamment ATF 135 I 153 consid. 2.1 et 135 I 143 consid. 2.2; voir également l'ATAF 2011/48 consid. 6.3.1). Dès lors, une violation de cette norme ne peut en principe être admise que si les membres d'une même famille n'ont - durablement ou, à tout le moins, pendant une période prolongée - aucune possibilité de se rencontrer dans un pays autre que la Suisse (cf. à ce sujet l'arrêt du TAF C-6651/2014 du 17 juillet 2015 consid. 7 et les références citées). Or, en l'occurrence, le recourant et ses fils, pour autant que l'art. 8 CEDH leur soit applicable, n'ont pas démontré qu'il leur était impossible de se rencontrer en Turquie ou à tout le moins en dehors de l'espace Schengen, étant rappelé que les demandes d'asile et de reconsidération de l'intéressé ont été déboutées (sur le devoir de la partie requérante de démontrer les faits qu'elle allègue voir, parmi d'autres, arrêt du TAF C-1270/2015 du 22 avril 2016 consid.6.1).</w:t>
      </w:r>
    </w:p>
    <w:p>
      <w:r>
        <w:rPr>
          <w:b/>
        </w:rPr>
        <w:t>E. 6</w:t>
      </w:r>
    </w:p>
    <w:p>
      <w:r>
        <w:t>Il s'ensuit que, par les deux décisions du 12 août 2019, l'autorité inférieure n'a ni violé le droit fédéral, ni constaté des faits pertinents de manière inexacte ou incomplète ; en outre, ces décisions ne sont pas inopportunes (cf. art. 49 PA). Les recours doivent par conséquent être rejetés.</w:t>
      </w:r>
    </w:p>
    <w:p>
      <w:r>
        <w:rPr>
          <w:b/>
        </w:rPr>
        <w:t>E. 7</w:t>
      </w:r>
    </w:p>
    <w:p>
      <w:r>
        <w:t>Vu l'issue de la cause, il y a lieu de mettre les frais de procédure à charge du recourant, en application de l'art. 63 al. 1 PA en relation avec les art. 1 à 3 du règlement du 21 février 2008 concernant les frais, dépens et indemnités fixés par le Tribunal administratif fédéral (FITAF, RS 173.320.2). Le recourant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