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F-4725/2023 vom 11. September 2023</w:t>
      </w:r>
    </w:p>
    <w:p>
      <w:r>
        <w:t>Bundesverwaltungsgericht, 2023-09-11, DE</w:t>
      </w:r>
    </w:p>
    <w:p>
      <w:r>
        <w:rPr>
          <w:b/>
        </w:rPr>
        <w:t xml:space="preserve">Quelle: </w:t>
      </w:r>
      <w:r>
        <w:t>https://mcp.opencaselaw.ch/entscheid/bvger_F-4725_2023</w:t>
      </w:r>
    </w:p>
    <w:p>
      <w:r>
        <w:t>FR: TAF F-4725/2023 du 11 septembre 2023</w:t>
      </w:r>
    </w:p>
    <w:p>
      <w:r>
        <w:t>IT: TAF F-4725/2023 del 11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den medizinischen Sachverhalt unvollständig erhoben beziehungsweise «nicht abschliessend abgeklärt».</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Die Vorinstanz hat den rechtserheblichen Sachverhalt hinreichend abgeklärt. Beim Beschwerdeführer besteht der Verdacht auf eine leichte depressive Episode sowie PTBS, weshalb ihm Trittico verschrieben wurde, welches er jedoch bereits nach einigen Tagen absetzte, da es bereits «gewirkt» habe. Ferner hat die Vorinstanz unter Bezugnahme auf den Arztbericht vom 26. Juni 2023 (SEM-act. 1252581-21/5) festgestellt, dass der Beschwerdeführer seit jenem Termin weder bei Medic-Help vorstellig geworden ist, noch Medikamente erhalten hat. Seine kongenitale vaskuläre Malformation (KVM) wurde spezialärztlich - angiologisch - begutachtet, wobei bei ihm ein «normales, offenes tiefes Venensystem ohne postthrombotische Veränderungen» (BVGer-act. 1 Beilage 3, Arztbericht vom 25. April und 15. Mai 2023; vgl. SEM-act. 1252581-17/5 und 1252581-21/5) festgestellt wurde.</w:t>
      </w:r>
    </w:p>
    <w:p>
      <w:r>
        <w:rPr>
          <w:b/>
        </w:rPr>
        <w:t>E. 4.1</w:t>
      </w:r>
    </w:p>
    <w:p>
      <w:r>
        <w:t>Der Beschwerdeführer moniert, sein Anspruch auf rechtliches Gehör sei verletzt worden, weil der «gesprächsleitende Fachspezialist» beim Dublin-Gespräch «keinerlei Rückfragen» zu seinen Ausführungen gestellt habe. Auch seien «wesentliche Teile der Ausführungen» nicht protokolliert worden, wobei die Rechtsvertretung erst gegen Ende des Gesprächs die Möglichkeit erhalten habe, eine Rückfrage zum medizinischen Sachverhalt zu stellen.</w:t>
      </w:r>
    </w:p>
    <w:p>
      <w:r>
        <w:rPr>
          <w:b/>
        </w:rPr>
        <w:t>E. 4.2</w:t>
      </w:r>
    </w:p>
    <w:p>
      <w:r>
        <w:t>Gemäss Art. 32 Abs. 1 VwVG würdigt die Behörde, bevor sie verfügt, alle erheblichen und rechtzeitigen Vorbringen der Parteien (Prüfungspflicht). Der Anspruch auf rechtliches Gehör verlangt von der Behörde, dass sie die Vorbringen des Betroffenen tatsächlich hört, ernsthaft prüft und in ihrer Entscheidfindung angemessen berücksichtigt. Die Einhaltung dieser Pflicht muss in der Begründung des Entscheids zum Ausdruck kommen, wobei nicht erforderlich ist, dass sich die Begründung mit allen Parteistandpunkten einlässlich auseinandersetzt und jedes einzelne Vorbringen ausdrücklich widerlegt (BGE 142 II 49 E. 9.2).</w:t>
      </w:r>
    </w:p>
    <w:p>
      <w:r>
        <w:rPr>
          <w:b/>
        </w:rPr>
        <w:t>E. 4.3</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4.4</w:t>
      </w:r>
    </w:p>
    <w:p>
      <w:r>
        <w:t>Gemäss dem Protokoll des Dublin-Gesprächs stellte die Rechtsvertretung dem Beschwerdeführer eine Nachfrage zu dessen Gesundheitszustand und gab einen Arztbericht ab. Die Rechtsvertretung bestätigte zudem schriftlich, keine (weiteren) Fragen zu haben. Dass sie «intern» festgehalten habe, der Fachspezialist habe keine Rückfragen zu «etwaigen Ausführungen» des Beschwerdeführers gestellt, ist somit nicht beachtlich. Der Rechtsvertretung wäre es freigestanden, im Rahmen der Anhörung Fragen zur Erhellung des Sachverhalts zu stellen, weitere Abklärungen anzuregen sowie Einwendungen zum Protokoll anzubringen (vgl. Art. 30 Abs. 4 AsylG). In Bezug auf das Vorbringen, es fehlten «wesentliche Teile der Ausführungen» im Protokoll, ist ebenfalls darauf hinzuweisen, dass der Beschwerdeführer im Anschluss an das Gespräch schriftlich bestätigte, mit dem Protokoll einverstanden zu sein. Eine Verletzung der Prüfungspflicht ist somit zu verneinen.</w:t>
      </w:r>
    </w:p>
    <w:p>
      <w:r>
        <w:rPr>
          <w:b/>
        </w:rPr>
        <w:t>E. 4.5</w:t>
      </w:r>
    </w:p>
    <w:p>
      <w:r>
        <w:t>Der Beschwerdeführer rügt im Wesentlichen weiter, die Vorinstanz habe es unterlassen, auf seine KVM sowie auf die damit einhergehenden medizinischen Implikationen einzugehen. Die Vorinstanz habe sich somit nicht genügend mit dem medizinischen Sachverhalt auseinandergesetzt und die Begründungspflicht verletzt, indem sie seine Vorbringen zwar zusammenfasse, jedoch in ihrer Entscheidfindung weder berücksichtige noch würdige.</w:t>
      </w:r>
    </w:p>
    <w:p>
      <w:r>
        <w:rPr>
          <w:b/>
        </w:rPr>
        <w:t>E. 4.5.1</w:t>
      </w:r>
    </w:p>
    <w:p>
      <w:r>
        <w:t>Vorab ist festzustellen, dass die Rüge des Beschwerdeführers, der medizinische Sachverhalt sei nicht genügend gewürdigt und berücksichtigt worden, die Prüfungspflicht und nicht, wie geltend gemacht, (auch) die Begründungspflicht betrifft. Für eine Verletzung der Begründungspflicht, wonach ein Entscheid ausreichend und nachvollziehbar zu begründen ist, liegen keine Hinweise vor (Art. 35 Abs. 1 VwVG; BGE 145 IV 99 E. 3.1).</w:t>
      </w:r>
    </w:p>
    <w:p>
      <w:r>
        <w:rPr>
          <w:b/>
        </w:rPr>
        <w:t>E. 4.5.2</w:t>
      </w:r>
    </w:p>
    <w:p>
      <w:r>
        <w:t>Die Vorinstanz geht in ihrer Verfügung - wie vom Beschwerdeführer zu Recht beanstandet - nicht auf die geltend gemachte KVM, welche Gegenstand ärztlicher Untersuchungen bildete, ein und begnügt sich bei der Beurteilung des medizinischen Sachverhalts mit der Berücksichtigung der psychischen Beschwerden. Demzufolge hat sie sich nicht genügend mit den Vorbringen des Beschwerdeführers auseinandergesetzt. Dadurch, dass sich der Beschwerdeführer im Rahmen des Beschwerdeverfahrens jedoch zum medizinischen Sachverhalt äussern konnte und seine Vorbringen durch das Gericht mit voller Kognition geprüft werden, ist die Gehörsverletzung als geheilt zu betrachten.</w:t>
      </w:r>
    </w:p>
    <w:p>
      <w:r>
        <w:rPr>
          <w:b/>
        </w:rPr>
        <w:t>E. 4.6</w:t>
      </w:r>
    </w:p>
    <w:p>
      <w:r>
        <w:t>Es besteht demnach keine Veranlassung, die Sache an die Vorinstanz zurückzuweisen. Das entsprechende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Nachdem der Beschwerdeführer bereits am 28. März 2023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6.2</w:t>
      </w:r>
    </w:p>
    <w:p>
      <w:r>
        <w:t>Gemäss Praxis des Bundesverwaltungsgerichts liegen zum heutigen Zeitpunkt - unabhängig davon, ob es sich dabei um ein «take charge»- oder ein «take back»-Verfahren handelt,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 Insbesondere ist auf die zitierten Berichte zu Push-Backs an der kroatischen Grenze, zur Verweigerung des Zugangs zum Asylverfahren, zur Gesundheitsversorgung von Asylsuchenden sowie zur Rechtsprechung von ausländischen Verwaltungsgerichten nicht näher einzugehen.</w:t>
      </w:r>
    </w:p>
    <w:p>
      <w:r>
        <w:rPr>
          <w:b/>
        </w:rPr>
        <w:t>E. 6.3</w:t>
      </w:r>
    </w:p>
    <w:p>
      <w:r>
        <w:t>Gemäss der zitierten Rechtsprechung sind systemische Schwachstellen im Sinne von Art. 3 Abs. 2 zweiter und dritter Satz Dublin-III-VO in Bezug auf Kroatien zu verneinen.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Der Beschwerdeführer macht geltend, er sei von kroatischen Polizisten im März 2023 gewaltsam «für mehrere Stunden auf den Boden und gegen ein Gitter gedrückt» worden, wodurch bei seiner KVM ein «Wachstumsschub» getriggert worden sei. Die kroatischen Behörden hätten ihn unmenschlich behandelt und ihn während mehrerer Tage inhaftiert. Aufgrund seiner KVM sei er behindert und stelle eine besonders schutzbedürftige Person gemäss Art. 21 der Richtlinie des Europäischen Parlaments und des Rates 2013/33/EU vom 26. Juni 2013 zur Festlegung von Normen für die Aufnahme von Personen, die internationalen Schutz beantragen dar. Eine Überstellung nach Kroatien verletze daher Art. 15 Abs. 1 des Übereinkommens über die Rechte von Menschen mit Behinderungen vom 13. Dezember 2006 (Behindertenrechtskonvention, BRK, SR 0.109) i.V.m. Art. 3 EMRK.</w:t>
      </w:r>
    </w:p>
    <w:p>
      <w:r>
        <w:rPr>
          <w:b/>
        </w:rPr>
        <w:t>E. 7.3</w:t>
      </w:r>
    </w:p>
    <w:p>
      <w:r>
        <w:t>Die vom Beschwerdeführer geltend gemachten Misshandlungen seitens der kroatischen Behörden werden weder belegt noch weiter substantiiert. Insbesondere ist nicht erwiesen, ob die von ihm beobachteten Verschlechterungen der Hautkrankheit kausal mit den Erlebnissen in Kroatien zusammenhängen - schliesslich leidet er seit Geburt an Hautveränderungen (SEM-act. 1252581-14/2, Arztbericht vom 21. April 2023).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Aufnahmerichtlinie). Dies gilt auch in Bezug auf ein allfälliges Fehlverhalten der kroatischen Polizei. Des Weiteren steht ihm die Möglichkeit offen, die vor Ort tätigen karitativen Organisationen zu kontaktieren.</w:t>
      </w:r>
    </w:p>
    <w:p>
      <w:r>
        <w:rPr>
          <w:b/>
        </w:rPr>
        <w:t>E. 7.4</w:t>
      </w:r>
    </w:p>
    <w:p>
      <w:r>
        <w:t>Der Beschwerdeführer befindet sich in einem guten Allgemeinzustand (SEM-act. 1252581-14/2). Die von ihm angeführten psychischen Beschwerden sowie die KVM dürften einer (Weiter-)Behandlung in Kroatien zugänglich sein. Anlässlich des Arzttermins vom 26. Juni 2023 hat er zudem angegeben, kein Trittico mehr einzunehmen, zumal sich sein «Gedankenkreisen» und sein Schlaf verbessert hätten (SEM-act. 1252581-21/5). Ferner hat er zur Behandlung der KVM eine Kompressionstherapie mit einem Armstrumpf begonnen (BVGer-act. 1 Beilage 3, medizinisches Datenblatt vom 23. August 2023). Gemäss dem medizinischen Datenblatt vom 23. August 2023 konnte nicht beurteilt werden, ob sich die KVM nach «erneuter Rauferei» ausgeweitet hat; eine erneute angiologische Untersuchung sei jedoch erst im Falle einer klaren Progression der KVM angezeigt. Es besteht folglich kein akuter medizinsicher Handlungsbedarf. Auch stellt der Beschwerdeführer keine besonders vulnerable Person dar.</w:t>
      </w:r>
    </w:p>
    <w:p>
      <w:r>
        <w:rPr>
          <w:b/>
        </w:rPr>
        <w:t>E. 7.5</w:t>
      </w:r>
    </w:p>
    <w:p>
      <w:r>
        <w:t>Die geltend gemachten gesundheitlichen Beeinträchtigungen sind gesamthaft nicht derart gravierend, dass mit Blick auf Art. 3 EMRK (i.V.m. Art. 15 Abs. 1 BRK) von einer Überstellung nach Kroatien abgesehen werden müsste (vgl. dazu Urteil des EGMR Paposhvili gegen Belgien vom 13. Dezember 2016, Grosse Kammer, 41738/10, §§ 180-193 m.w.H.). Sollte 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Kroatien hat ausserdem die BRK ratifiziert. Entgegen den Ausführungen in der Rechtsmitteleingabe ist auch der Zugang zu psychologischer Behandlung grundsätzlich gewährleistet (vgl. Urteil F-12/2023 vom 27. März 2023 E. 7.4.3).</w:t>
      </w:r>
    </w:p>
    <w:p>
      <w:r>
        <w:rPr>
          <w:b/>
        </w:rPr>
        <w:t>E. 7.6</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7.7</w:t>
      </w:r>
    </w:p>
    <w:p>
      <w:r>
        <w:t>Vor diesem Hintergrund ist auch der sinngemäss gestellte Antrag, die Vorinstanz sei anzuweisen, konkrete und individuelle Zusicherungen von den kroatischen Behörden bezüglich des Zugangs des Beschwerdeführers zu adäquater medizinischer Versorgung einzuholen, abzuweisen.</w:t>
      </w:r>
    </w:p>
    <w:p>
      <w:r>
        <w:rPr>
          <w:b/>
        </w:rPr>
        <w:t>E. 8</w:t>
      </w:r>
    </w:p>
    <w:p>
      <w:r>
        <w:t>Die Vorinstanz ist zu Recht gestützt auf Art. 31a Abs. 1 Bst. b AsylG auf das Asylgesuch des Beschwerdeführers nicht eingetreten und hat die Wegweisung nach Kroatien angeordnet.</w:t>
      </w:r>
    </w:p>
    <w:p>
      <w:r>
        <w:rPr>
          <w:b/>
        </w:rPr>
        <w:t>E. 9</w:t>
      </w:r>
    </w:p>
    <w:p>
      <w:r>
        <w:t>Die Beschwerde ist abzuweisen.</w:t>
      </w:r>
    </w:p>
    <w:p>
      <w:r>
        <w:rPr>
          <w:b/>
        </w:rPr>
        <w:t>E. 10</w:t>
      </w:r>
    </w:p>
    <w:p>
      <w:r>
        <w:t>Mit dem Entscheid in der Hauptsache sind die Gesuche um Erteilung der aufschiebenden Wirkung der Beschwerde und um Verzicht auf die Erhebung eines Kostenvorschusses gegenstandslos geworden. Der am 4. September 2023 verfügte einstweilige Vollzugsstopp fällt mit dem vorliegenden Urteil dahin.</w:t>
      </w:r>
    </w:p>
    <w:p>
      <w:r>
        <w:rPr>
          <w:b/>
        </w:rPr>
        <w:t>E. 11</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12</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