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F-4722/2023 vom 7. September 2023</w:t>
      </w:r>
    </w:p>
    <w:p>
      <w:r>
        <w:t>Bundesverwaltungsgericht, 2023-09-07, DE</w:t>
      </w:r>
    </w:p>
    <w:p>
      <w:r>
        <w:rPr>
          <w:b/>
        </w:rPr>
        <w:t xml:space="preserve">Quelle: </w:t>
      </w:r>
      <w:r>
        <w:t>https://mcp.opencaselaw.ch/entscheid/bvger_F-4722_2023</w:t>
      </w:r>
    </w:p>
    <w:p>
      <w:r>
        <w:t>FR: TAF F-4722/2023 du 7 septembre 2023</w:t>
      </w:r>
    </w:p>
    <w:p>
      <w:r>
        <w:t>IT: TAF F-4722/2023 del 7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Die Beschwerdeführenden sind zur Beschwerdeanhebung legitimiert (vgl. Art. 48 Abs. 1 VwVG). Auf die frist- und formgerecht eingereichte Beschwerde ist einzutreten (vgl.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zu zeigen sein wird - als offensichtlich unbegründet. Über sie ist daher in einzelrichterlicher Zuständigkeit mit Zustimmung eines zweiten Richters beziehungsweise einer zweiten Richterin zu befinden (Art. 111 Bst. e AsylG) und das Urteil ist summarisch zu begründen (Art. 111a Abs. 2 AsylG). Auf die Durchführung eines Schriftenwechsels wurde verzichtet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 Gleichzeitig verfügt das SEM die Wegweisung aus der Schweiz und ordnet den Vollzug an (Art. 44 AsylG).</w:t>
      </w:r>
    </w:p>
    <w:p>
      <w:r>
        <w:rPr>
          <w:b/>
        </w:rPr>
        <w:t>E. 5.1</w:t>
      </w:r>
    </w:p>
    <w:p>
      <w:r>
        <w:t>Der Mitgliedstaat, der das Verfahren zur Bestimmung des zuständigen Mitgliedstaats durchführt, kann, bevor eine Erstentscheidung in der Sache ergangen ist, jederzeit einen anderen Mitgliedstaat ersuchen, den Antragsteller aufzunehmen, auch wenn der andere Mitgliedstaat nach den Kriterien in den Art. 8 -11 und 16 nicht zuständig ist. Dies aus humanitären Gründen, die sich insbesondere aus dem familiären oder kulturellen Kontext ergeben, um Personen jeder verwandtschaftlichen Beziehung zusammenzuführen. Die betroffenen Personen müssen dem schriftlich zustimmen (Art. 17 Abs. 2 Dublin-III-VO).</w:t>
      </w:r>
    </w:p>
    <w:p>
      <w:r>
        <w:rPr>
          <w:b/>
        </w:rPr>
        <w:t>E. 5.2</w:t>
      </w:r>
    </w:p>
    <w:p>
      <w:r>
        <w:t>Streitig und zu prüfen ist, ob eine rechtsgültige Zustimmung der Beschwerdeführerin 1 im Sinne von Art. 17 Abs. 2 Dublin-III-VO vorliegt.</w:t>
      </w:r>
    </w:p>
    <w:p>
      <w:r>
        <w:rPr>
          <w:b/>
        </w:rPr>
        <w:t>E. 5.3</w:t>
      </w:r>
    </w:p>
    <w:p>
      <w:r>
        <w:t>Im Rahmen des Dublin-Gesprächs vom 15. Juni 2023 gab die Beschwerdeführerin 1 an, nicht nach Österreich gehen zu wollen. Sie habe sich für die Schweiz entschieden, da sie hier viele Möglichkeiten habe und das Bildungswesen in der Schweiz sehr gut sei. In Bezug auf ihren Ehemann führte sie aus, dass sie mit ihm im Verfahren zusammenbleiben und nicht getrennt werden wolle. Eine Trennung wäre ein Schock bzw. ein Trauma für sie und ihre Kinder.</w:t>
      </w:r>
    </w:p>
    <w:p>
      <w:r>
        <w:rPr>
          <w:b/>
        </w:rPr>
        <w:t>E. 5.4</w:t>
      </w:r>
    </w:p>
    <w:p>
      <w:r>
        <w:t>Bezugnehmend auf diese Angaben teilte die Vorinstanz der Beschwerdeführerin 1 am 19. Juni 2023 mit, dass Österreich als zuständiger Dublin-Mitgliedstaat für das Asylgesuch ihres Ehemannes festgestellt worden sei und es beabsichtige, die österreichischen Behörden um Übernahme der Beschwerdeführerin 1 und ihrer Kinder im Sinne von Art. 10 oder Art. 17 Abs. 2 Dublin-lll-VO zu ersuchen, um die Einheit der Familie zu wahren. Sodann wies das SEM die Beschwerdeführerin 1 darauf hin, dass sie für ein solches Vorgehen ihren dahingehenden Wunsch schriftlich mitteilen müsse und bat sie um entsprechende Mitteilung.</w:t>
      </w:r>
    </w:p>
    <w:p>
      <w:r>
        <w:rPr>
          <w:b/>
        </w:rPr>
        <w:t>E. 5.5</w:t>
      </w:r>
    </w:p>
    <w:p>
      <w:r>
        <w:t>Die Rechtsvertretung der Beschwerdeführerin 1 antwortete hierauf mit Eingabe am 23. Juni 2023, dass die Beschwerdeführerin 1 ihr gegenüber geäussert habe, dass die Einheit der Familie für sie oberste Priorität habe, und folglich eine mögliche Zuständigkeit Österreichs für das Asylverfahren in Kauf genommen werde. Dies sei «als schriftliche Kundgabe des Wunsches im Sinne der Bestimmung zu verstehen».</w:t>
      </w:r>
    </w:p>
    <w:p>
      <w:r>
        <w:rPr>
          <w:b/>
        </w:rPr>
        <w:t>E. 5.6</w:t>
      </w:r>
    </w:p>
    <w:p>
      <w:r>
        <w:t>Die erforderliche Zustimmung im Sinne von Art. 17 Abs. 2 Dublin-III-VO lag mit dem Schreiben der Rechtsvertretung vor. Zumal die genannte Bestimmung weder Eigenschriftlichkeit noch eine eigenhändige Unterschrift verlangt. Die Vorinstanz hat folglich Art. 17 Abs. 2 Dublin-III-VO zu Recht angewendet und Österreich um Aufnahme der Beschwerdeführerin 1 und ihrer Kinder zwecks Zusammenführung mit ihrem Ehemann bzw. Vater ersucht. Mit der daraufhin erteilten Zustimmung der österreichischen Behörden wurde Österreich nach Massgabe der Dublin-III-VO zuständig für die Durchführung des Asyl- und Wegweisungsverfahrens betreffend die Beschwerdeführenden. Vorbehaltlich Art. 17 Abs. 1 Dublin-III-VO in Verbindung mit Art. 29a Abs. 3 AsylV 1 sowie Art. 3 Abs. 2 Dublin-III-VO (dazu jeweils unten E. 6) ist die Vorinstanz somit in Anwendung von Art. 31a Abs. 1 Bst. b AsylG zu Recht auf das Asylgesuch der Beschwerdeführenden nicht eingetreten.</w:t>
      </w:r>
    </w:p>
    <w:p>
      <w:r>
        <w:rPr>
          <w:b/>
        </w:rPr>
        <w:t>E. 5.7</w:t>
      </w:r>
    </w:p>
    <w:p>
      <w:r>
        <w:t>An der an Richtigkeit der vorinstanzlichen Verfügung ändert nichts, wenn die Beschwerdeführerin 1 im Beschwerdeverfahren nun auf ihre Zustimmung zurückkommt, und neu priorisiert, mit ihren Kindern in der Schweiz zu bleiben. Dies umso weniger, als sie keine wesentliche Änderung der relevanten Umstände - etwa im Verhältnis zu ihrem Ehemann - geltend macht. Mithin verhält sich die Beschwerdeführerin 1 widersprüchlich, indem sie auf ihre Zustimmung zurückkommt. Ferner ist in diesem Zusammenhang darauf hinzuweisen, dass die Dublin-III-VO den betroffenen Personen kein Recht einräumt, das gewünschte Zielland auszusuchen, sondern formell-rechtliche Kriterien für die Zuteilung im Vordergrund stehen (vgl. BVGE 2019/VI/7 E. 8.2).</w:t>
      </w:r>
    </w:p>
    <w:p>
      <w:r>
        <w:rPr>
          <w:b/>
        </w:rPr>
        <w:t>E. 5.8</w:t>
      </w:r>
    </w:p>
    <w:p>
      <w:r>
        <w:t>Ebenso wenig ist der Beschwerdeführerin 1 behilflich, wenn sie auf Beschwerdeebene nun erstmals geltend macht, ihre Äusserung sei von der Rechtsvertretung lediglich «falsch verstanden und so dargestellt» worden, als ob sie mit ihrem Ehemann nach Österreich gehen wolle. Die Beschwerdeführerin 1 muss sich das prozessuale Handeln ihrer Rechtsvertretung grundsätzlich anrechnen lassen. Dies gilt - jedenfalls im Grundsatz - auch in Anbetracht der Tatsache, dass es sich vorliegend um eine zugewiesene Rechtsvertretung im Sinne von Art. 102f ff. Abs. 1 AsylG handelt. Ob bzw. inwieweit in diesem Kontext allenfalls ausnahmsweise vom Grundsatz der Zurechnung abzuweichen wäre, sollten konkrete Anhaltspunkte für eine schwerwiegende Sorgfaltspflichtverletzung seitens der Vertretung vorliegen, braucht hier nicht geklärt zu werden. Denn die Beschwerdeführerin substantiiert den Vorwurf gegenüber ihrer zugewiesenen Rechtsvertretung mit keinem Wort. Mithin macht sie nicht ansatzweise glaubhaft oder zumindest plausibel, inwiefern die Rechtsvertretung ihre Angaben hätte falsch verstehen können oder weshalb sie diese falsch dargestellt haben sollte. Auch sonst sind keinerlei Anhaltspunkte dafür ersichtlich, dass die Rechtsvertretung - welche über das Anwaltspatent verfügt und aus deren Äusserungen im Schreiben vom 23. Juni 2023 sowie im Rahmen des Dublin-Gesprächs klar wird, dass sie rechtliche Situation der Beschwerdeführerin und ihrer Familie einschliesslich der Bedeutung und Rechtswirkungen von Art. 17 Abs. 2 Dublin-III-VO erfasst hat - die Beschwerdeführerin 1 in der entscheidenden Frage der Zustimmung zur Familienzusammenführung in Österreich falsch verstanden oder gar absichtlich falsch dargestellt haben könnte.</w:t>
      </w:r>
    </w:p>
    <w:p>
      <w:r>
        <w:rPr>
          <w:b/>
        </w:rPr>
        <w:t>E. 5.9</w:t>
      </w:r>
    </w:p>
    <w:p>
      <w:r>
        <w:t>Damit bleibt es nach dem Gesagten bei der festgestellten staatsvertraglichen Zuständigkeit Österreichs.</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Nach ständiger Rechtsprechung des Bundesverwaltungsgerichts weist das Asylverfahren in Österreich keine systemischen Schwachstellen im Sinne von Art. 3 Abs. 2 Dublin-III-VO auf (vgl. anstelle vieler: Urteil des BVGer F-4294/2023 vom 11. August 2023 E. 6 m.w.H.). Dies stellen die Beschwerdeführenden denn auch nicht in Frage, weshalb sich Weiterungen dazu erübrigen. Es sind ferner keine Anhaltspunkte ersichtlich oder werden geltend gemacht, welche einen Selbsteintritt der Schweiz gebieten würden, insbesondere sind den Akten keine Hinweise auf einen Ermessensmissbrauch oder ein Über- respektive Unterschreiten des Ermessens zu entnehmen. Das Gericht enthält sich deshalb in diesem Zusammenhang einer weiteren Überprüfung.</w:t>
      </w:r>
    </w:p>
    <w:p>
      <w:r>
        <w:rPr>
          <w:b/>
        </w:rPr>
        <w:t>E. 6.3</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Abs. 1 Dublin-III-VO.</w:t>
      </w:r>
    </w:p>
    <w:p>
      <w:r>
        <w:rPr>
          <w:b/>
        </w:rPr>
        <w:t>E. 7</w:t>
      </w:r>
    </w:p>
    <w:p>
      <w:r>
        <w:t>Die Vorinstanz ist nach dem Gesagten zu Recht in Anwendung von Art. 31a Abs. 1 Bst. b AsylG auf das Asylgesuch der Beschwerdeführenden nicht eingetreten. Da die Beschwerdeführenden nicht im Besitz einer gültigen Aufenthalts- oder Niederlassungsbewilligung sind, wurde die Wegweisung nach Österreich in Anwendung von Art. 44 AsylG ebenfalls zu Recht angeordnet (Art. 32 Bst. a AsylV 1). Im Ergebnis ist die Beschwerde abzuweisen.</w:t>
      </w:r>
    </w:p>
    <w:p>
      <w:r>
        <w:rPr>
          <w:b/>
        </w:rPr>
        <w:t>E. 8</w:t>
      </w:r>
    </w:p>
    <w:p>
      <w:r>
        <w:t>Mit diesem Urteil fällt der am 4. September 2023 angeordnete Vollzugstopp dahin.</w:t>
      </w:r>
    </w:p>
    <w:p>
      <w:r>
        <w:rPr>
          <w:b/>
        </w:rPr>
        <w:t>E. 9</w:t>
      </w:r>
    </w:p>
    <w:p>
      <w:r>
        <w:t>Die Kosten des Verfahrens sind ausgangsgemäss den Beschwerdeführenden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