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F-4708/2025 vom 7. Juli 2025</w:t>
      </w:r>
    </w:p>
    <w:p>
      <w:r>
        <w:t>Bundesverwaltungsgericht, 2025-07-07, DE</w:t>
      </w:r>
    </w:p>
    <w:p>
      <w:r>
        <w:rPr>
          <w:b/>
        </w:rPr>
        <w:t xml:space="preserve">Quelle: </w:t>
      </w:r>
      <w:r>
        <w:t>https://mcp.opencaselaw.ch/entscheid/bvger_F-4708_2025</w:t>
      </w:r>
    </w:p>
    <w:p>
      <w:r>
        <w:t>FR: TAF F-4708/2025 du 7 juillet 2025</w:t>
      </w:r>
    </w:p>
    <w:p>
      <w:r>
        <w:t>IT: TAF F-4708/2025 del 7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Der Beschwerdeführer beantragt die Aufhebung der vorinstanzlichen Verfügung und die Berichtigung des ZEMIS-Eintrags. Damit richtet sich die Beschwerde sowohl gegen den Nichteintretensentscheid gemäss Art. 31a Abs. 1 Bst. b AsylG als auch gegen den ZEMIS-Eintrag betreffend sein Geburtsdatum. Das Beschwerdeverfahren hinsichtlich ZEMIS-Datenbereinigung wird separat vom vorliegenden Asylverfahren unter der Nummer F-4776/2025 geführt und es werden zwei separate Urteile gefällt. Die Festlegung des Geburtsdatums des Beschwerdeführers - Ziffer 5 der angefochtenen Verfügung - bildet damit nicht Gegenstand des vorliegenden Verfahrens.</w:t>
      </w:r>
    </w:p>
    <w:p>
      <w:r>
        <w:rPr>
          <w:b/>
        </w:rPr>
        <w:t>E. 1.3</w:t>
      </w:r>
    </w:p>
    <w:p>
      <w:r>
        <w:t>Die Beschwerde ist zulässig (Art. 105 AsylG; Art. 31 ff. VGG). Die übrigen Sachurteilsvoraussetzungen (Legitimation [Art. 48 Abs. 1 VwVG], Frist [Art. 108 Abs. 3 AsylG bzw. Art. 50 Abs. 1 VwVG]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sofern es dem Wohl der minderjährigen Person dient.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Vorliegend bestünde deshalb bei Minderjährigkeit des Beschwerdeführers im Zeitpunkt der Stellung seines Asylantrags in der Schweiz eine der grundsätzlichen Wiederaufnahmezuständigkeit Österreichs vorrangige Zuständigkeit der Schweiz (vgl. unter anderen: Urteil des BVGer F-6213/2020 vom 5. Januar 2021 E. 3.4).</w:t>
      </w:r>
    </w:p>
    <w:p>
      <w:r>
        <w:rPr>
          <w:b/>
        </w:rPr>
        <w:t>E. 4.1</w:t>
      </w:r>
    </w:p>
    <w:p>
      <w:r>
        <w:t>Die Beweislast für die Minderjährigkeit liegt im Asylverfahren bei der gesuchstellenden Person und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Das Resultat eines Altersgutachtens stellt ein Element dar bei der Beurteilung der Frage der Glaubhaftigkeit einer angeblichen Minderjährigkeit (vgl. BVGE 2019 I/6 E. 6.1 ff.).</w:t>
      </w:r>
    </w:p>
    <w:p>
      <w:r>
        <w:rPr>
          <w:b/>
        </w:rPr>
        <w:t>E. 4.2</w:t>
      </w:r>
    </w:p>
    <w:p>
      <w:r>
        <w:t>Die Vorinstanz führt in der angefochtenen Verfügung zusammenfassend aus, der Beschwerdeführer habe keine rechtsgenüglichen Identitätspapiere eingereicht, welche seine Minderjährigkeit zweifelsfrei belegen würden. Die in Kopie eingereichten Dokumente (Tazkira, Impfkarte und Geburtsregisterauszug) seien nicht geeignet, ein rechtsgenügliches Dokument zu ersetzen, da diese leicht manipulierbar und käuflich erhältlich seien. Seine Angaben in der Erstbefragung seien sodann vage und widersprüchlich ausgefallen. Sie würden insgesamt konstruiert wirken und die Vermutung nahelegen, die schweizerischen Behörden würden über das wahre Alter getäuscht. Es würden keine begründeten Anhaltspunkte bestehen, die Erkenntnisse des Altersgutachtens entscheidrelevant in Zweifel zu ziehen. Das Resultat des Altersgutachtens stelle ein gewichtiges Indiz für die Volljährigkeit des Beschwerdeführers dar. Das Erscheinungsbild des Beschwerdeführers sei für die Beurteilung des Alters nicht berücksichtigt worden, da diesem gemäss Rechtsprechung ein nur verminderter Beweiswert zukomme. Vor diesem Hintergrund sei die in der Stellungnahme vom 2. Juni 2025 behauptete überdurchschnittliche Grösse der Mutter des Beschwerdeführers irrelevant. Die geltend gemachte Minderjährigkeit bleibe unbelegt. Gesamthaft würden die Hinweise für eine Volljährigkeit diejenigen zugunsten der geltend gemachten Minderjährigkeit überwiegen.</w:t>
      </w:r>
    </w:p>
    <w:p>
      <w:r>
        <w:rPr>
          <w:b/>
        </w:rPr>
        <w:t>E. 4.3</w:t>
      </w:r>
    </w:p>
    <w:p>
      <w:r>
        <w:t>Der Beschwerdeführer hält dem entgegen, er sei minderjährig. Er habe widerspruchsfrei ausgesagt und habe anlässlich der EB UMA ohne zu zögern sein Geburtsdatum sowohl im afghanischen als auch im gregorianischen Kalender nennen können. Seine Ausführungen zu weiteren Angaben seiner Biographie seien durchwegs schlüssig und plausibel. Er habe ausgeführt, im Alter von sieben Jahren eingeschult worden zu sein und die Schule bis zur 5. Klasse bzw. bis zum Alter von zwölf Jahren besucht zu haben. Drei Jahre danach sei er im Jahr 2023 nach Pakistan ausgereist. Seine Aussagen würden sich mit den Angaben auf seiner Tazkira, dem Impfausweis und dem Auszug aus dem Geburtsregister decken. Der von der Vorinstanz geltend gemachte Widerspruch betreffe nicht seine biographischen Angaben, sondern den Ausreisezeitpunkt und die Dauer der Reise. Die Reisedauer sei jedoch nur als ungefähre Angabe zu verstehen und sei für die Frage des Alters irrelevant. Dass er das genaue Alter seiner Brüder nicht habe nennen können, zeige sein ehrliches Aussageverhalten. Es wäre ein leichtes gewesen, irgendein Alter zu nennen. Seine Aussagen seien als starkes Indiz für seine Minderjährigkeit zu werten. Weiter sei er auch in Österreich als Minderjähriger registriert worden. Beim Altersgutachten handle es sich nicht um eine wissenschaftlich exakte Abklärung, sondern um eine Altersschätzung. Basierend auf dem Zahnalter sei ein Mindestalter von 16.7 Jahren eruiert worden. Das Mindestalter von 19 Jahren basiere einzig auf der Untersuchung der Schlüsselbeine. Aufgrund der auffallenden Körpergrösse seiner Mutter sei auf eine genetische Veranlagung zu überdurchschnittlicher Körpergrösse zu schliessen. In einer Gesamtbetrachtung habe er seine Minderjährigkeit ausreichend glaubhaft machen können.</w:t>
      </w:r>
    </w:p>
    <w:p>
      <w:r>
        <w:rPr>
          <w:b/>
        </w:rPr>
        <w:t>E. 4.4</w:t>
      </w:r>
    </w:p>
    <w:p>
      <w:r>
        <w:t>Der Beschwerdeführer vermag sein angebliches Geburtsdatum nicht anhand rechtsgenüglicher Identitätsdokumente zu belegen. Er hat lediglich Kopien seiner Tazkira, eines Impfausweises und eines Geburtsregisterauszugs eingereicht. Die Vorinstanz hält zu Recht fest, dass diesen Kopien nahezu keine Beweiskraft zukomme. Tazkiras gelten ferner nicht als fälschungssichere Dokumente. Deshalb ist hinsichtlich der Frage der Identität von Inhabern eines solchen Dokuments praxisgemäss von einem geringen Beweiswert auszugehen (vgl. Urteil des BVGer E-322/2021 vom 17. Februar 2021 E. 3.4).</w:t>
      </w:r>
    </w:p>
    <w:p>
      <w:r>
        <w:rPr>
          <w:b/>
        </w:rPr>
        <w:t>E. 4.5</w:t>
      </w:r>
    </w:p>
    <w:p>
      <w:r>
        <w:t>Aus dem Altersgutachten des Instituts für diagnostische und interventionelle Radiologie des Universitätsspitals B._______ vom 12. Mai 2025 kann der Beschwerdeführer nichts zu seinen Gunsten ableiten. Im Gutachten wird aufgrund der Röntgenuntersuchung der Hand, der Computertomographie der Schlüsselbeine und der odontologischen Untersuchung ein durchschnittliches Alter von 18.5 bis 23.6 Jahren angegeben. Das Mindestalter liege bei 19.0 Jahren. Nach den Ergebnissen der Forensischen Altersdiagnostik sei der Beschwerdeführer zum Zeitpunkt der Untersuchung mit an Sicherheit grenzender Wahrscheinlichkeit volljährig gewesen. Das angegebene Alter von 17 Jahren und 4 Monaten liege unterhalb der Ergebnisse der Altersschätzung und könne nicht zutreffen. Gemäss dem Grundsatzurteil des Bundesverwaltungsgerichts BVGE 2018 VI/3 E. 4.2.2 stellt in einer solchen Konstellation das Altersgutachten ein starkes Indiz für die Volljährigkeit dar.</w:t>
      </w:r>
    </w:p>
    <w:p>
      <w:r>
        <w:rPr>
          <w:b/>
        </w:rPr>
        <w:t>E. 4.6</w:t>
      </w:r>
    </w:p>
    <w:p>
      <w:r>
        <w:t>Die Aussagen des Beschwerdeführers zu seinem Alter fallen zwar nicht widersprüchlich aus, sie wirken jedoch konstruiert und bleiben ohne Details. Insbesondere konnte er auch das Alter seiner Geschwister, mit Ausnahme eines Bruders, nicht nennen. Die Kopien der eingereichten Dokumente sind von geringem Beweiswert und lassen keinen eindeutigen Schluss bezüglich seiner Voll- oder Minderjährigkeit zu. Das Altersgutachten geht hingegen klar von der Volljährigkeit des Beschwerdeführers aus. In einer Gesamtwürdigung ist es dem Beschwerdeführer somit nicht gelungen, seine Minderjährigkeit glaubhaft zu machen.</w:t>
      </w:r>
    </w:p>
    <w:p>
      <w:r>
        <w:rPr>
          <w:b/>
        </w:rPr>
        <w:t>E. 5.1</w:t>
      </w:r>
    </w:p>
    <w:p>
      <w:r>
        <w:t>Nachdem die Minderjährigkeit des Beschwerdeführers als nicht glaubhaft gemacht zu erachten ist, hat die Vorinstanz zu Recht die österreichischen Behörden um seine Wiederaufnahme ersucht. Die Zuständigkeit Österreichs für das Asylverfahren ist angesichts des Eurodac-Treffers und der Gutheissung des Wiederaufnahmeersuchens grundsätzlich gegeben.</w:t>
      </w:r>
    </w:p>
    <w:p>
      <w:r>
        <w:rPr>
          <w:b/>
        </w:rPr>
        <w:t>E. 5.2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5.3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einer Person in den an sich zuständigen Mitgliedstaat zu einer Verletzung völkerrechtlicher Verpflichtungen der Schweiz führen würde (BVGE 2015/9 E. 8.2.1). Gemäss Art. 29a Abs. 3 AsylV 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5.3.1</w:t>
      </w:r>
    </w:p>
    <w:p>
      <w:r>
        <w:t>Der Beschwerdeführer hat kein konkretes und ernsthaftes Risiko dargetan, die österreichischen Behörden würden sich weigern, ihn wieder aufzunehmen und seinen Antrag auf internationalen Schutz unter Einhaltung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dortigen Bedingungen seien derart schlecht, dass sie zu einer Verletzung von Art. 4 der EU-Grundrechtecharta, Art. 3 EMRK oder Art. 3 FoK führen könnten. Der Beschwerdeführer macht in der Beschwerde keine gesundheitlichen Probleme geltend und solche sind auch in den Akten nicht ersichtlich.</w:t>
      </w:r>
    </w:p>
    <w:p>
      <w:r>
        <w:rPr>
          <w:b/>
        </w:rPr>
        <w:t>E. 5.3.2</w:t>
      </w:r>
    </w:p>
    <w:p>
      <w:r>
        <w:t>Die Vorinstanz hat somit das Selbsteintrittsrecht von Art. 17 Dublin-III-VO sowie Art. 29a Abs. 3 AsylV 1 zu Recht nicht ausgeübt. Weder ist die Schweiz völkerrechtlich verpflichtet, auf das Asylgesuch einzutreten, noch sind humanitäre Gründe ersichtlich, welche einen Selbsteintritt nahelegen würden. Das ihr zustehende Ermessen hat die Vorinstanz im Übrigen rechtskonform ausgeübt (vgl. BVGE 2015/9 E. 8).</w:t>
      </w:r>
    </w:p>
    <w:p>
      <w:r>
        <w:rPr>
          <w:b/>
        </w:rPr>
        <w:t>E. 6</w:t>
      </w:r>
    </w:p>
    <w:p>
      <w:r>
        <w:t>Die Vorinstanz ist zu Recht auf das Asylgesuch des Beschwerdeführers nicht eingetreten und hat die Wegweisung nach Österreich angeordnet.</w:t>
      </w:r>
    </w:p>
    <w:p>
      <w:r>
        <w:rPr>
          <w:b/>
        </w:rPr>
        <w:t>E. 7</w:t>
      </w:r>
    </w:p>
    <w:p>
      <w:r>
        <w:t>Die Beschwerde ist abzuweisen. Mit dem vorliegenden Urteil fällt der am 30. Juni 2025 angeordnete superprovisorische Vollzugsstopp dahin.</w:t>
      </w:r>
    </w:p>
    <w:p>
      <w:r>
        <w:rPr>
          <w:b/>
        </w:rPr>
        <w:t>E. 8.1</w:t>
      </w:r>
    </w:p>
    <w:p>
      <w:r>
        <w:t>Die Begehren erweisen sich als aussichtslos, weshalb das Gesuch um unentgeltliche Prozessführung (Art. 65 Abs. 1 VwVG) abzuweisen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