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F-4700/2024 vom 18. Juni 2024</w:t>
      </w:r>
    </w:p>
    <w:p>
      <w:r>
        <w:t>Bundesverwaltungsgericht, 2024-06-18, DE</w:t>
      </w:r>
    </w:p>
    <w:p>
      <w:r>
        <w:rPr>
          <w:b/>
        </w:rPr>
        <w:t xml:space="preserve">Quelle: </w:t>
      </w:r>
      <w:r>
        <w:t>https://mcp.opencaselaw.ch/entscheid/bvger_F-4700_2024_d20240618</w:t>
      </w:r>
    </w:p>
    <w:p>
      <w:r>
        <w:t>FR: TAF F-4700/2024 du 18 juin 2024</w:t>
      </w:r>
    </w:p>
    <w:p>
      <w:r>
        <w:t>IT: TAF F-4700/2024 del 18 giugno 2024</w:t>
      </w:r>
    </w:p>
    <w:p>
      <w:pPr>
        <w:pStyle w:val="Heading2"/>
      </w:pPr>
      <w:r>
        <w:t>Regeste</w:t>
      </w:r>
    </w:p>
    <w:p>
      <w:r>
        <w:t>Schengen-Visum | Schengen-Visum; Verfügung des SEM vom 18. Juni 2024</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Die übrigen Sachurteilsvoraussetzungen (Legitimation [Art. 48 Abs. 1 VwVG], Frist [Art. 50 Abs. 1 VwVG] und Form [Art. 52 Abs. 1 VwVG]) sind erfüllt. Auf die Beschwerde ist einzutreten.</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w:t>
      </w:r>
    </w:p>
    <w:p>
      <w:r>
        <w:t>F-4700/2024 Seite 4 Beschwerdeinstanz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Entscheids (vgl. BVGE 2020 VII/4 E. 2.2; 2014/1 E. 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 raum.</w:t>
      </w:r>
    </w:p>
    <w:p>
      <w:r>
        <w:rPr>
          <w:b/>
        </w:rPr>
        <w:t>E. 3.2</w:t>
      </w:r>
    </w:p>
    <w:p>
      <w:r>
        <w:t>Drittstaatsangehörige, die für die Einreise in den Schengen-Raum der Visumspflicht unterstehen (vgl. die Verordnung [EU] 2018/1806 des Euro- päischen Parlaments und des Rates vom 14. November 2018 zur Aufstel- lung der Liste der Drittländer, deren Staatsangehörige beim Überschreiten der Aussengrenzen im Besitz eines Visums sein müssen, sowie die Liste der Drittländer, deren Staatsangehörige von dieser Visumpflicht befreit sind [ABl. L 303/39 vom 28.11.2018]), müssen für die Ausstellung eines Schen- gen-Visums (Aufenthalt im Hoheitsgebiet der Schengen-Mitgliedstaaten von bis zu 90 Tagen je Zeitraum von 180 Tagen) kumulativ folgende Vor- aussetzungen erfüllen:</w:t>
      </w:r>
    </w:p>
    <w:p>
      <w:r>
        <w:rPr>
          <w:b/>
        </w:rPr>
        <w:t>E. 3.2.1</w:t>
      </w:r>
    </w:p>
    <w:p>
      <w:r>
        <w:t>Sie müssen den Zweck und die Umstände ihres beabsichtigten Auf- enthalts belegen können (vgl. Art. 6 Abs. 1 Bst. c der Verordnung [EG] Nr. 2016/399 des Europäischen Parlaments und des Rates vom 9. März 2016 über einen Gemeinschaftskodex für das Überschreiten der Grenzen</w:t>
      </w:r>
    </w:p>
    <w:p>
      <w:r>
        <w:t>F-4700/2024 Seite 5 durch Personen [nachfolgend: Schengener Grenzkodex, SGK, ABl. L 77/1 vom 23.03.2016]).</w:t>
      </w:r>
    </w:p>
    <w:p>
      <w:r>
        <w:rPr>
          <w:b/>
        </w:rPr>
        <w:t>E. 3.2.2</w:t>
      </w:r>
    </w:p>
    <w:p>
      <w:r>
        <w:t>Sie müssen Gewähr für eine fristgerechte Wiederausreise bieten. Gemäss Art. 21 Abs. 1 der Verordnung (EG) Nr. 810/2009 des Europäi- schen Parlaments und des Rates vom 13. Juli 2009 über einen Visakodex der Gemeinschaft (nachfolgend: Visakodex, VK, Abl. L 243 vom 15.9.2009) ist dabei zu beurteilen, ob beim Antragssteller das Risiko der rechtswidri- gen Einwanderung besteht und ob er beabsichtigt, vor Ablauf der Gültig- 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 steller vorgelegten Belege oder am Wahrheitsgehalt ihres Inhalts, an der Glaubwürdigkeit seiner Aussagen oder der von ihm bekundeten Absicht bestehen, das Hoheitsgebiet der Mitgliedstaaten vor Ablauf der Gültigkeit des beantragten Visums zu verlassen (Art. 32 Abs. 1 Bst. b VK).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 liäre Verpflichtungen (vgl. Urteile des BVGer F-2075/2020 vom 26. Oktober 2020 E. 6.4.2; F-190/2017 vom 9. Oktober 2018 E. 8.2.) kann die Prognose für eine anstandslose Wiederausreise begünstigt werden. Sodann ist er- fahrungsgemäss das Risiko dort erhöht, wo durch die Anwesenheit von Verwandten oder Freunden in der Schweiz bereits ein soziales Bezie- hungsnetz besteht (BVGE 2014/1 E. 6.2.2).</w:t>
      </w:r>
    </w:p>
    <w:p>
      <w:r>
        <w:rPr>
          <w:b/>
        </w:rPr>
        <w:t>E. 3.2.3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Aufenthalts in der</w:t>
      </w:r>
    </w:p>
    <w:p>
      <w:r>
        <w:t>F-4700/2024 Seite 6 Schweiz von der Sozialhilfe unterstützt werden müssen (vgl. Art. 3 Abs. 2 der Verordnung vom 15. August 2018 über die Einreise und die Visumer- teilung [VEV, SR 142.204]). Die Feststellung ausreichender Mittel zur Be- 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 staatsangehörigen bei einem Gastgeber – Bürgschaften von Gastgebern im Sinne des nationalen Rechts Nachweise für das Vorhandensein ausrei- 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 bracht werden mit Bargeld (Bst. a), Bankguthaben (Bst. b), einer Verpflich- tungserklärung (Bst. c) oder einer anderen Sicherheit (Bst. d). Die Modali- täten der Verpflichtungserklärung sind in Art. 14 ff. VEV geregelt. Eine sol- che Erklärung umfasst gemäss Art. 15 Abs. 1 VEV ungedeckte Kosten für den Lebensunterhalt, einschliesslich Unfall und Krankheit, sowie für die Rückreise, die dem Gemeinwesen oder einem privaten Erbringer von me- dizinischen Dienstleistungen durch den Aufenthalt der Ausländerin oder des Ausländers im Schengen-Raum entstehen. Die Verpflichtungserklä- rung ist unwiderruflich (Art. 15 Abs. 2 VEV). In der Schweiz beträgt die Ga- rantiesumme für Einzelpersonen sowie für gemeinsam reisende Gruppen und Familien bis höchstens zehn Personen Fr. 30'000.- (Art. 15 Abs. 5 VEV). Die zuständige kantonale oder kommunale Behörde kontrolliert die Verpflichtungserklärung (Art. 16 Abs. 1 VEV). Mit Zustimmung der zustän- digen Bewilligungsbehörden können Ausländerinnen und Ausländer den Nachweis ausreichender Mittel zur Bestreitung des Lebensunterhalts mit einer Bankgarantie einer schweizerischen Bank oder mit anderen ver- gleichbaren Sicherheiten erbringen (Art. 18 VEV).</w:t>
      </w:r>
    </w:p>
    <w:p>
      <w:r>
        <w:rPr>
          <w:b/>
        </w:rPr>
        <w:t>E. 3.2.4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3.2.5</w:t>
      </w:r>
    </w:p>
    <w:p>
      <w:r>
        <w:t>Sie müssen im Besitz gültiger Reisedokumente, die zum Grenzüber- tritt berechtigen, sein (Art. 21 Abs. 1 VK i.V.m. Art. 6 Abs. 1 Bst. a SGK; Art. 12 VK; Art. 5 Abs. 1 Bst. a AIG).</w:t>
      </w:r>
    </w:p>
    <w:p>
      <w:r>
        <w:t>F-4700/2024 Seite 7</w:t>
      </w:r>
    </w:p>
    <w:p>
      <w:r>
        <w:rPr>
          <w:b/>
        </w:rPr>
        <w:t>E. 3.2.6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verweigerte die Erteilung der Schengen-Visa mit der Be- gründung, es bestehe keine Gewähr für eine fristgerechte Wiederausreise aus dem Schengen-Raum. Die Beschwerdeführenden stammten aus einer Region, in der angesichts der wirtschaftlichen und politischen Verhältnisse ein hoher Auswanderungsdruck bestehe. Die Beschwerdeführenden hät- ten keine Verpflichtung zu einer eigenen Kernfamilie im Heimatland. Beide seien pensioniert, erhielten eine bescheidene Rente und hätten Wohnei- gentum, was für iranische Verhältnisse normal sei. Es könne nicht ange- nommen werden, dass die wirtschaftlichen Verhältnisse im Iran die Be- schwerdeführenden von einer Emigration abzuhalten vermöchten. Zudem sei ein zwangsweiser Vollzug einer Wegweisung aus der Schweiz in den Iran derzeit nicht möglich.</w:t>
      </w:r>
    </w:p>
    <w:p>
      <w:r>
        <w:rPr>
          <w:b/>
        </w:rPr>
        <w:t>E. 4.2</w:t>
      </w:r>
    </w:p>
    <w:p>
      <w:r>
        <w:t>Demgegenüber machen die Beschwerdeführenden geltend, sie hätten im Vergleich zum iranischen Durchschnittsbürger gute Lebensbedingun- gen im Iran. Weiter würden sie Enkelkinder betreuen. Auch zu Neffen und Nichten und weiteren Verwandten bestünden feste familiäre Beziehungen. Sie hätten kein Interesse, in ihrem fortgeschrittenen Alter ihr Heimatland zu verlassen. Das Durchlaufen eines langwierigen aussichtlosen Asylverfah- rens in der Schweiz wäre unvorstellbar, da sie ihren Lebensabend im Iran zusammen mit ihren Familienangehörigen und Bekannten verbringen möchten. Ihre Tochter, die sich in der Schweiz befinde, könne als aner- kannter Flüchtling für ein Wiedersehen sodann nicht in den Iran reisen.</w:t>
      </w:r>
    </w:p>
    <w:p>
      <w:r>
        <w:rPr>
          <w:b/>
        </w:rPr>
        <w:t>E. 5.1</w:t>
      </w:r>
    </w:p>
    <w:p>
      <w:r>
        <w:t>Die iranische Wirtschaft ist durch eine starke staatliche Beteiligung ge- kennzeichnet. Der Staat kontrolliert die Schlüsselsektoren (Banken, Ener- gie, Transport und Telekommunikation) und einen grossen Teil der Indust- rie. Die Sanktionen (insbesondere die US-amerikanischen) belasten die iranische Wirtschaft stark. Die Devisenreserven sind zurückgegangen, die Landeswährung hat abgewertet und die Inflation sowie die Arbeitslosigkeit sind gestiegen. Die wirtschaftliche Lage im Iran ist aufgrund fehlender zu- verlässiger und vollständiger Daten seit Ende 2019 schwer zu beurteilen. Der iranische Statistikdienst (SCI) und die iranische Zentralbank (BCI) ha- ben aufgehört, präzise Informationen zu veröffentlichen. (vgl.</w:t>
      </w:r>
    </w:p>
    <w:p>
      <w:r>
        <w:t>F-4700/2024 Seite 8 Staatssekretariat für Wirtschaft [SECO], Länderfiche – Januar 2025: Iran, abrufbar auf &lt; https://www.seco.admin.ch/seco/de/home/Aussenwirt- schaftspolitik_Wirtschaftliche_Zusammenarbeit/Wirtschaftsbeziehun- gen/laenderinformationen/mittlererosten/iran.html &gt;, abgerufen am 21. Mai 2025). Zwischen der Schweiz und dem Iran besteht ein deutliches Wohl- standsgefälle (Bruttoinlandprodukt pro Kopf [kaufkraftbereinigt, aktuelle Preise]: 95'836.636 internationale Dollar [Schweiz] und 19'606.813 inter- nationale Dollar [Iran], World Economic Outlook Database: October 2024, &lt;https://www.imf.org/en/Publications/WEO/weo-database/2024/October&gt;, Switzerland / Iran, abgerufen am 21. Mai 2025). Vor diesem Hintergrund ist das allgemeine Risiko einer nicht fristgerechten und anstandslosen Wie- derausreise von Besuchspersonen aus dem Iran grundsätzlich als hoch einzuschätzen.</w:t>
      </w:r>
    </w:p>
    <w:p>
      <w:r>
        <w:rPr>
          <w:b/>
        </w:rPr>
        <w:t>E. 5.2</w:t>
      </w:r>
    </w:p>
    <w:p>
      <w:r>
        <w:t>Aufgrund ihrer Pensionierung und der damit zusammenhängenden fehlenden Erwerbstätigkeit haben die Beschwerdeführenden keine beson- deren beruflichen Verpflichtungen im Iran, die eine Rückkehr erforderlich machen würden. Sie befinden sich auch nicht in besonders privilegierten Vermögensverhältnissen: Der Beschwerdeführer 1 bezieht eine monatliche Altersrente von 145’531'871 Iranischen Real (umgerechnet derzeit ca. Fr. 2'800.–) und ist Eigentümer zweier Wohnungen in Teheran, deren Kauf- preis mit 447'043'272 Iranischen Real (umgerechnet derzeit ca. Fr. 8'620.-) und 179'847'346 Iranischen Real (umgerechnet derzeit ca. Fr. 3'473.–) an- gegeben wird. Am 18. Februar 2024 verfügte der Beschwerdeführer 1 auf seinem Bankkonto über 7'524'806'199 Iranische Real (umgerechnet der- zeit ca. Fr. 145'110.–). Die familiären Verpflichtungen der Beschwerdefüh- renden bewegen sich in einem für Grosseltern üblichen Rahmen. So helfen sie beispielsweise mit bei der Betreuung der Kinder ihrer älteren Tochter. Eine weitere Tochter lebt mit den Beschwerdeführenden zusammen in de- ren Eigentumswohnung. Die noch auf Einspracheebene geltend gemach- ten Mitgliedschaften in Vereinen – der Beschwerdeführer 1 ist Mitglied ei- nes Fussball- und eines Schachvereins, die Beschwerdeführerin 2 ist Mit- glied einer Tourismusgruppe – stellen keine besonderen gesellschaftlichen Verpflichtungen dar, die wesentlich für eine fristgerechte Rückkehr in den Iran sprechen würden. Mit einer in die Schweiz geflüchteten Tochter sowie einem Bruder bzw. Schwager verfügen die Beschwerdeführenden zudem über enge Bezugspersonen in der Schweiz, was das Risiko einer nicht frist- gerechten Ausreise erhöht. Entgegen ihrem Dafürhalten spricht sodann ihr fortgeschrittenes Alter nicht wesentlich für eine gesicherte Rückkehr. Im Gegenteil kann die Qualität der Gesundheitsversorgung in der Schweiz so- wie die Möglichkeit, sich durch hierzulande anwesende Angehörige pflegen</w:t>
      </w:r>
    </w:p>
    <w:p>
      <w:r>
        <w:t>F-4700/2024 Seite 9 zu lassen, gerade für ältere Personen einen Anreiz schaffen, um ihrer Aus- reisepflicht nicht nachzukommen (vgl. Urteile des BVGer F-5294/2023 vom 18. November 2024 E. 5.5; F-3680/2022 vom 13. September 2023 E. 8.3).</w:t>
      </w:r>
    </w:p>
    <w:p>
      <w:r>
        <w:rPr>
          <w:b/>
        </w:rPr>
        <w:t>E. 5.3</w:t>
      </w:r>
    </w:p>
    <w:p>
      <w:r>
        <w:t>Zusammenfassend vermögen die persönlichen Verhältnisse der Be- schwerdeführenden das aufgrund der allgemeinen Verhältnisse im Iran be- stehende hohe Risiko für eine nicht fristgerechte Wiederausreise nicht zu relativieren. Daran vermag die Aussage der Gastgeberin in dem Einla- dungsschreiben, wonach sie garantiere, dass die Beschwerdeführenden zu ihrer Familie in den Iran zurückkehren würden, nichts zu ändern, da eine solche Erklärung rechtlich nicht durchsetzbar ist (vgl. BVGE 2014/1 E. 6.3.7). Nach dem Dargelegten kann offenbleiben, ob die weiteren Vo- raussetzungen für die Ausstellung eines Schengen-Visums, wie insbeson- dere das Vorhandensein ausreichender finanzieller Mittel für den Aufent- halt und die Rückreise (vgl. E. 3.2.3), erfüllt sind.</w:t>
      </w:r>
    </w:p>
    <w:p>
      <w:r>
        <w:rPr>
          <w:b/>
        </w:rPr>
        <w:t>E. 6</w:t>
      </w:r>
    </w:p>
    <w:p>
      <w:r>
        <w:t>Gestützt auf die obigen Erwägungen erweist sich die Verweigerung der Ausstellung des Visums durch die Vorinstanz als rechtmässig. Die ange- fochtene Verfügung ist somit im Lichte von Art. 49 VwVG nicht zu bean- standen und die Beschwerde ist abzuweisen.</w:t>
      </w:r>
    </w:p>
    <w:p>
      <w:r>
        <w:rPr>
          <w:b/>
        </w:rPr>
        <w:t>E. 7</w:t>
      </w:r>
    </w:p>
    <w:p>
      <w:r>
        <w:t>Bei diesem Ausgang des Verfahrens sind die Kosten den Beschwerdefüh- renden aufzuerlegen und auf Fr. 900.– festzulegen (vgl. Art. 63 Abs. 1 VwVG i.V.m. Art. 1 ff. des Reglements vom 21. Februar 2008 über die Kos- ten und Entschädigungen vor dem Bundesverwaltungsgericht [VGKE, SR 173.320.2]). Sie sind durch den in gleicher Höhe geleisteten Kosten- vorschuss gedeckt.</w:t>
      </w:r>
    </w:p>
    <w:p>
      <w:r>
        <w:t>(Dispositiv nächste Seite)</w:t>
      </w:r>
    </w:p>
    <w:p>
      <w:r>
        <w:t>F-4700/2024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