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F-4690/2023 vom 5. September 2023</w:t>
      </w:r>
    </w:p>
    <w:p>
      <w:r>
        <w:t>Bundesverwaltungsgericht, 2023-09-05, FR</w:t>
      </w:r>
    </w:p>
    <w:p>
      <w:r>
        <w:rPr>
          <w:b/>
        </w:rPr>
        <w:t xml:space="preserve">Quelle: </w:t>
      </w:r>
      <w:r>
        <w:t>https://mcp.opencaselaw.ch/entscheid/bvger_F-4690_2023</w:t>
      </w:r>
    </w:p>
    <w:p>
      <w:r>
        <w:t>FR: TAF F-4690/2023 du 5 septembre 2023</w:t>
      </w:r>
    </w:p>
    <w:p>
      <w:r>
        <w:t>IT: TAF F-4690/2023 del 5 settembre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recours a été présenté dans la forme et le délai prescrits par la loi, le recourant disposant en outre de la qualité pour recourir ; il est dès lors recevable (art. 48 al. 1 et 52 al. 1 PA [RS 172.021], applicables par renvoi de l'art. 37 LTAF, et art.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prise en charge (anglais : take charge) comme en l'espèce, les critères énumérés au chapitre III du règlement (art. 8 à 15) doivent être appliqués successivement (principe de l'application hiérarchique des critères de compétence, art. 7 par. 1 RD III). En particulier, lorsqu'il est établi que l'intéressé est titulaire d'un visa en cours de validité, l'Etat membre qui l'a délivré est en principe responsable de l'examen de la demande de protection internationale (art. 12 par. 2 RD III).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ont révélé, après consultation du système central européen d'information sur les visas (CS-VIS), que le recourant était titulaire d'un visa délivré par le Portugal, valable du 15 mai au 27 août 2023 (pces SEM 7, 11 et 12). Le précité a fait usage de ce visa pour entrer le 15 mai 2023 au Portugal par avion (pce SEM 7), avant d'entrer en Suisse par voie terrestre quelques semaines plus tard, selon ses dires le 7 juin 2023, pour y déposer une demande d'asile. En se basant sur ce qui précède et un entretien effectué avec le recourant le 15 juin 2023 (pce SEM 15), le SEM a soumis le 23 juin 2023 une demande aux fins de sa prise en charge aux autorités portugaises, fondée sur l'art. 12 par. 2 RD III (pce SEM 17). Or celles-ci ont explicitement accepté la demande le 23 août 2023, soit dans le délai prévu à l'art. 22 par. 1 RD III (pce SEM 20). Il s'ensuit que le Portugal est bien, en principe, l'Etat membre tenu de prendre en charge le recourant - ce qui n'est d'ailleurs pas contesté par ce dernier.</w:t>
      </w:r>
    </w:p>
    <w:p>
      <w:r>
        <w:rPr>
          <w:b/>
        </w:rPr>
        <w:t>E. 4.1</w:t>
      </w:r>
    </w:p>
    <w:p>
      <w:r>
        <w:t>Pour s'opposer à son transfert, le recourant se prévaut de la présence en Suisse de son frère et de sa belle-soeur, respectivement titulaires d'une autorisation de séjour et de la nationalité suisse. Il plaide présenter un lien de dépendance particulier avec ceux-ci, étant donné son vécu traumatique en Afghanistan et la précarité de son état de santé psychique, et avoir ainsi besoin de leur soutien. Or, il ne connaitrait personne au Portugal et y serait livré à lui-même. Au cours de son entretien individuel, le recourant a également souligné que son objectif avait toujours été de venir en Suisse, où la situation était au demeurant meilleure qu'au Portugal.</w:t>
      </w:r>
    </w:p>
    <w:p>
      <w:r>
        <w:rPr>
          <w:b/>
        </w:rPr>
        <w:t>E. 4.2</w:t>
      </w:r>
    </w:p>
    <w:p>
      <w:r>
        <w:t>D'emblée, le Tribunal observe que le règlement Dublin III ne confère pas aux personnes en quête de protection le droit de choisir elles-mêmes l'Etat qui examinera leur demande, pas plus qu'il n'impose aux autorités de donner suite au souhait d'un requérant de voir sa demande d'asile examinée dans l'Etat offrant à son avis les meilleures conditions d'accueil (cf. notamment ATAF 2010/45 consid. 8.3). La volonté du recourant ne saurait donc être déterminante ici. Cela étant précisé, la présence en Suisse du frère de l'intéressé n'a pas été confirmée dans la décision attaquée, le SEM ayant, semble-t-il, fait l'économie d'une recherche dans le registre idoine. Un renvoi de la cause à l'autorité inférieure à des fins d'instruction s'avère toutefois inutile. Le lien de parenté entre une personne majeure et ses frères ou soeurs n'est en effet pas couvert par la définition des « membres de la famille » au sens du règlement (cf. art. 2 let. g). Plus encore, le lien de dépendance découlant d'un besoin d'assistance entre le recourant et son frère, soulevé dans le recours, n'apparaît pas vraisemblable. En effet, sur le plan médical, un journal de soins daté du 9 juin 2023 a été versé au dossier, dont il ressort que le recourant a consulté à raison d'anxiété et de cauchemars imputés à son vécu traumatique ; un médicament phytothérapeutique (...) lui a été prescrit pour 10 jours, une évaluation de l'efficacité du traitement et de son état psychologique ayant au surplus été requise pour le 16 juin suivant. Or aucun document médical ultérieur n'a été transmis au SEM ou au Tribunal, le recourant n'ayant fourni aucune indication sur le résultat de l'évaluation psychologique ou son état de santé dans son pourvoi. Dans ces conditions - soit en l'absence de tout diagnostic ou traitement psychothérapeutique ou psychopharmacologique - il n'apparaît pas que le recourant souffrirait d'affections psychologiques telles que seule l'assistance d'un membre de la famille permettrait d'y remédier. La présence d'un lien de dépendance particulier dans le sens de la jurisprudence restrictive rendue en la matière ne peut ainsi être retenue (ATF 144 II 1 consid. 6.1 ; arrêt du TAF F-4726/2020 du 30 septembre 2020 consid. 4.2.1 et les réf. cit. ; cf. également l'art. 16 par. 1 RD III). Aucune violation du RD III ou de l'art. 8 CEDH (RS 0.101) n'est dès lors constatée. Le Tribunal rappelle au demeurant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donnée en l'espèce, le dossier ne révélant pas d'affection d'une gravité particulière.</w:t>
      </w:r>
    </w:p>
    <w:p>
      <w:r>
        <w:rPr>
          <w:b/>
        </w:rPr>
        <w:t>E. 4.3</w:t>
      </w:r>
    </w:p>
    <w:p>
      <w:r>
        <w:t>Il s'ensuit que le transfert du recourant au Portugal n'est pas contraire aux obligations de la Suisse relevant du droit international public et que le SEM a procédé à un examen correct des faits allégués par l'intéressé susceptibles de constituer des « raisons humanitaires » au sens de l'art. 29a al. 3 OA 1.</w:t>
      </w:r>
    </w:p>
    <w:p>
      <w:r>
        <w:rPr>
          <w:b/>
        </w:rPr>
        <w:t>E. 5</w:t>
      </w:r>
    </w:p>
    <w:p>
      <w:r>
        <w:t>Le Portugal demeure dès lors l'Etat responsable de l'examen de la demande d'asile du recourant au sens du RD III. C'est ainsi à juste titre que le SEM n'est pas entré en matière sur celle-ci, en application de l'art. 31a al. 1 let. b LAsi, et a prononcé le transfert de l'intéressé vers le Portugal,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