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F-4687/2020 vom 30. September 2020</w:t>
      </w:r>
    </w:p>
    <w:p>
      <w:r>
        <w:t>Bundesverwaltungsgericht, 2020-09-30, DE</w:t>
      </w:r>
    </w:p>
    <w:p>
      <w:r>
        <w:rPr>
          <w:b/>
        </w:rPr>
        <w:t xml:space="preserve">Quelle: </w:t>
      </w:r>
      <w:r>
        <w:t>https://mcp.opencaselaw.ch/entscheid/bvger_F-4687_2020</w:t>
      </w:r>
    </w:p>
    <w:p>
      <w:r>
        <w:t>FR: TAF F-4687/2020 du 30 septembre 2020</w:t>
      </w:r>
    </w:p>
    <w:p>
      <w:r>
        <w:t>IT: TAF F-4687/2020 del 30 settembre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 Das Urteil des Bundesverwaltungsgerichts ist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3.2.1</w:t>
      </w:r>
    </w:p>
    <w:p>
      <w:r>
        <w:t>Frankreich ist zur Wiederaufnahme des Beschwerdeführers grundsätzlich zuständig (Art. 18 Abs. 1 Bst. b Dublin-III-VO; Art. 23 Dublin-III-VO). In Bezug auf die Zuständigkeitskriterien des Kapitels III der Dublin-III-VO und insbesondere Art. 8 Dublin-III-VO moniert der Beschwerdeführer einzig, die Vorinstanz hätte den für den 5. November 2020 vereinbarten Termin bei der afghanischen Botschaft abwarten müssen. Diese Vorsprache hätte einen wertvollen Beweis geliefert, der für seine "mögliche" Minderjährigkeit sprechen "könnte". Das von den österreichischen Behörden gesetzte Geburtsdatum gebe mangels behördlicher Abklärungen keine Auskunft über sein Alter. Es sei nicht zulässig, sein Alter vordergründig anhand seines Aussehens festzulegen.</w:t>
      </w:r>
    </w:p>
    <w:p>
      <w:r>
        <w:rPr>
          <w:b/>
        </w:rPr>
        <w:t>E. 3.2.2</w:t>
      </w:r>
    </w:p>
    <w:p>
      <w:r>
        <w:t>Sowohl in Frankreich als auch in Österreich wurde der Beschwerdeführer mit dem (...) 2000 als Geburtsdatum registriert. Zu keinem Zeitpunkt machte der vertretene Beschwerdeführer vor Übermittlung der entsprechenden Informationen aus Österreich und Frankreich im Wiederaufnahmeverfahren in der Schweiz geltend, sein Geburtsdatum sei in diesen Ländern falsch oder entgegen seinen damaligen Angaben registriert worden. Vielmehr sagte er anlässlich der Erstbefragung am 7. Juli 2020 aus, das europäische Datum seines Alter erst seit dem Asylverfahren in Österreich zu kennen. Die österreichischen Behörden hätten mit seiner Mutter gesprochen, welche am Telefon sein Alter bestätigt habe. In Österreich habe es betreffend seiner Identität keine Unklarheiten gegeben. Zudem beantragte der Beschwerdeführer an seiner Anhörung am 18. August 2020 als Beweis für sein Alter den Beizug der Asylakten aus Österreich. Nachdem diese nun vorliegen, kann bei dieser Ausgangslage aufgrund der Altersregistrierungen in Österreich und Frankreich somit ohne Weiteres von der Volljährigkeit des Beschwerdeführers ausgegangen werden. Die Rüge der unvollständigen Sachverhaltsabklärung ist unbehelflich, zumal vom Botschaftstermin keine Hinweise zu erwarten sind, die dennoch auf eine Minderjährigkeit schliessen lassen.</w:t>
      </w:r>
    </w:p>
    <w:p>
      <w:r>
        <w:rPr>
          <w:b/>
        </w:rPr>
        <w:t>E. 3.2.3</w:t>
      </w:r>
    </w:p>
    <w:p>
      <w:r>
        <w:t>Somit erweist sich der Sachverhalt bezüglich des Alters des Beschwerdeführers als hinreichend abgeklärt und die grundsätzliche Zuständigkeit Frankreichs ist insofern nicht in Frage zu stellen.</w:t>
      </w:r>
    </w:p>
    <w:p>
      <w:r>
        <w:rPr>
          <w:b/>
        </w:rPr>
        <w:t>E. 4.1</w:t>
      </w:r>
    </w:p>
    <w:p>
      <w:r>
        <w:t>Im Lichte von Art. 3 Abs. 2 Dublin-III-VO ist weiter zu prüfen, ob es wesentliche Gründe für die Annahme gibt, das Asylverfahren und die Aufnahmebedingungen für Asylsuchende in Frankreich würden systemische Schwachstellen aufweisen, die eine Gefahr einer unmenschlichen oder entwürdigenden Behandlung im Sinne des Artikel 4 der Charta der Grundrechte der Europäischen Union (2012/C 326/02; nachfolgend: EU-Grundrechtecharta) mit sich bringen würden.</w:t>
      </w:r>
    </w:p>
    <w:p>
      <w:r>
        <w:rPr>
          <w:b/>
        </w:rPr>
        <w:t>E. 4.2</w:t>
      </w:r>
    </w:p>
    <w:p>
      <w:r>
        <w:t>Entgegen der Auffassung des Beschwerdeführers weist das französische Asylverfahren derzeit keine systemischen Schwachstellen auf. Das Bundesverwaltungsgericht geht in konstanter Rechtsprechung nach wie vor davon aus, dass Asylsuchende in Frankreich die von der Richtlinie des Europäischen Parlaments und des Rates 2013/33/EU vom 26. Juni 2013 zur Festlegung von Normen für die Aufnahme von Personen, die internationalen Schutz beantragen (sog. Aufnahmerichtlinie) garantierten Grundleistungen erhalten und eine unmenschliche und erniedrigende Unterbringungs- und Betreuungssituation im Sinne von Art. 3 EMRK nicht zu befürchten ist (vgl. Urteile des BVGer F-3733/2020 vom 31. Juli 2020 E. 6.3, mit Hinweis auf Urteil des EGMR N.H. und Andere gegen Frankreich vom 2. Juli 2020, Beschwerde n° 28820/13 u.a., §§ 155-209; F-3594/2020 vom 21. Juli 2020; F-3255/2020 vom 2. Juli 2020 E. 7.3; F-2511/2020 vom 20. Mai 2020 E. 5.2; F-1929/2020 vom 16. April 2020 E. 7.3). Die pauschale Behauptung des Beschwerdeführers, wonach er in Frankreich auf der Strasse gelebt habe, Opfer von Gewalt- und Raubdelikten geworden sei und zur Bewältigung seiner psychischen Probleme Drogen habe einnehmen müssen, genügt für sich alleine nicht, um die grundsätzliche Vermutung umzustossen, wonach Frankreich seinen völkerrechtlichen Verpflichtungen nachkommt, (BVGE 2012/27 E. 6.4; Urteil des BVGer F-4121/2020 vom 25. August 2020 E. 5.1).</w:t>
      </w:r>
    </w:p>
    <w:p>
      <w:r>
        <w:rPr>
          <w:b/>
        </w:rPr>
        <w:t>E. 4.3</w:t>
      </w:r>
    </w:p>
    <w:p>
      <w:r>
        <w:t>Zwar mag die derzeitige COVID-19-Pandemie auch das französische Asylsystem vor zusätzliche Herausforderungen zu stellen. Selbst aus den vom Beschwerdeführer angeführten Websites (vgl. &lt; https://www.ofpra.gouv.fr/fr/l-ofpra/actualites/mesures-liees-au-covid-19 &gt;, abgerufen am 28.09.2020; &lt; https://www.infomigrants.net/en/post/23531/asylum-in-france-exceptional-administrative-procedures-due-to-coronavirus &gt;, abgerufen am 28.09.2020) geht jedoch nicht hervor, dass Frankreich die Aufnahme von asylsuchenden Personen, respektive von Dublin-Rückkehrern, gestoppt oder zum Nachteil solcher Personen grundlegende Prozesse im Asylverfahren eingestellt hätte. Eine auf Art. 3 Abs. 2 Dublin-III-VO gestützte Zuständigkeit der Schweiz ist deshalb auch vor diesem Hintergrund nicht anzunehmen.</w:t>
      </w:r>
    </w:p>
    <w:p>
      <w:r>
        <w:rPr>
          <w:b/>
        </w:rPr>
        <w:t>E. 5</w:t>
      </w:r>
    </w:p>
    <w:p>
      <w:r>
        <w:t>Zu prüfen bleibt, ob die Vorinstanz aufgrund systemischer Mängel des französischen Asylsystems oder in Anwendung der Souveränitätsklausel von ihrem Selbsteintrittsrecht hätte Gebrauch machen müssen.</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5.2</w:t>
      </w:r>
    </w:p>
    <w:p>
      <w:r>
        <w:t>Dem Beschwerdeführer steht es bei einer allfälligen vorübergehenden Einschränkung des Unterbringungs- und Betreuungsangebots offen, sich an die zuständigen französischen Behörden zu wenden und die ihm zustehenden Aufnahmebedingungen auf dem Rechtsweg einzufordern (Art. 26 Aufnahmerichtlinie). Entgegen seiner Behauptung sind vorliegend keine konkreten Anhaltspunkte dafür ersichtlich, dass er im Falle einer Wegweisung nach Frankreich wegen der dortigen Aufenthaltsbedingungen in eine existenzielle Notlage geraten würde. Er hat die Möglichkeit, bei allfälligen Schwierigkeiten die dafür zuständigen Behörden beziehungsweise die vor Ort tätigen karitativen Organisationen zu kontaktieren. Der Beschwerdeführer kann in Frankreich im Übrigen behördlichen Schutz beanspruchen, sollte er etwaigen Behelligungen durch Drittpersonen ausgesetzt sein (vgl. Urteil F-2511/2020 E. 6.1).</w:t>
      </w:r>
    </w:p>
    <w:p>
      <w:r>
        <w:rPr>
          <w:b/>
        </w:rPr>
        <w:t>E. 5.3</w:t>
      </w:r>
    </w:p>
    <w:p>
      <w:r>
        <w:t>Es deutet ausserdem nichts darauf hin, dass Frankreich den Grundsatz des Non-Refoulement missachten und ihn zwingen könnte, in ein Land auszureisen, in welchem er einer Gefahr im Sinne von Art. 3 Abs. 1 AsylG ausgesetzt wäre, oder in dem er Gefahr laufen würde, zur Ausreise in ein solches Land gezwungen zu werden. Es ist darauf hinzuweisen, dass Frankreich der Wiederaufnahme des Beschwerdeführers gestützt auf Art. 18 Abs. 1 Bst. b Dublin-III-VO zugestimmt hat. Demzufolge ist von einem nach wie vor pendenten Asylverfahren in diesem Dublin-Mitgliedstaat auszugehen. Auch ein definitiver Entscheid über ein Asylgesuch und die Wegweisung ins Heimatland würden jedoch nicht per se eine Verletzung des Non-Refoulement-Prinzips darstellen. Frankreich bleibt auch im Falle eines negativen Asylentscheids für die Wegweisung des Beschwerdeführers aus dem Dublin-Raum zuständig (BVGE 2017 VI/5 E. 8.5.3.3).</w:t>
      </w:r>
    </w:p>
    <w:p>
      <w:r>
        <w:rPr>
          <w:b/>
        </w:rPr>
        <w:t>E. 5.4</w:t>
      </w:r>
    </w:p>
    <w:p>
      <w:r>
        <w:t>Der Beschwerdeführer macht geltend, die Überstellung nach Frankreich setze ihn einer Gefahr für die Gesundheit aus und verletze Art. 3 EMRK.</w:t>
      </w:r>
    </w:p>
    <w:p>
      <w:r>
        <w:rPr>
          <w:b/>
        </w:rPr>
        <w:t>E. 5.4.1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(Urteil des EGMR Paposhvili gegen Belgien vom 13. Dezember 2016, Grosse Kammer 41738/10, §§ 180-193 m.w.H.).</w:t>
      </w:r>
    </w:p>
    <w:p>
      <w:r>
        <w:rPr>
          <w:b/>
        </w:rPr>
        <w:t>E. 5.4.2</w:t>
      </w:r>
    </w:p>
    <w:p>
      <w:r>
        <w:t>Im Verlaufe seines Asylverfahrens in der Schweiz begab sich der Beschwerdeführer mehrere Male in ärztliche Behandlung. Entsprechenden Berichten vom 30. Juli 2020 und vom 6. August 2020 zufolge wurde bei ihm eine posttraumatische Belastungsstörung, eine "Depressio" sowie ausgeprägte Akne diagnostiziert. Festgehalten wurde dabei unter anderem, dass der Beschwerdeführer davon spreche, «zu seiner Familie in die andere Welt zu gehen» (SEM-act. 19 und 21). Fachärztlich liess sich der Beschwerdeführer am 2. August 2020 sowie am 6. September 2020 von einem Dermatologen behandeln (SEM-act. 44 und 52). Die behandelnde Ärztin der Stiftung (...) schrieb am 8. September 2020 zuhanden der Vorinstanz, dass im Rahmen einer depressiven Verstimmung und von Schlafstörungen beim Beschwerdeführer mit einer medikamentösen Behandlung (Seroquel) zur Stimmungsstabilisierung und zur Schlafunterstützung begonnen worden sei (SEM-act. 46).</w:t>
      </w:r>
    </w:p>
    <w:p>
      <w:r>
        <w:rPr>
          <w:b/>
        </w:rPr>
        <w:t>E. 5.4.3</w:t>
      </w:r>
    </w:p>
    <w:p>
      <w:r>
        <w:t>Nicht zu bestreiten ist, dass der Beschwerdeführer an verschiedenartigen gesundheitlichen Beeinträchtigungen - insbesondere auch psychischer Natur - leidet. Selbst Letztere ist jedoch nicht derart schwer, dass von einer Überstellung nach Frankreich abgesehen werden müsste (vgl. auch Urteile F-4121/2020 E. 5.3; F-3594/2020). Noch im Rahmen des ihm von der Vorinstanz abschliessend gewährten rechtlichen Gehörs zu seinem Gesundheitszustand hatte der Beschwerdeführer am 2. September 2020 keinerlei gesundheitliche Beschwerden geltend gemacht. Weshalb sich die Situation in der Zwischenzeit wesentlich verändert haben soll, wird in der Beschwerde vom 22. September 2020 nicht überzeugend und nachvollziehbar dargetan (vgl. dazu auch Art. 26a Abs. 1 AsylG). Von weiteren medizinischen Abklärungen wären daher keine neuen Erkenntnisse in Bezug auf das Vorliegen einer schwerwiegenden Erkrankung zu erwarten (vgl. BGE 141 I 60 E. 3.3; 136 I 229 E. 5.3). Eine fachärztliche, psychiatrische Abklärung des Beschwerdeführers ist vorliegend weder notwendig, noch besteht ein Anspruch auf eine solche. Der Sachverhalt erweist sich mit Blick auf eine mögliche Verletzung von Art. 3 EMRK somit als hinreichend abgeklärt.</w:t>
      </w:r>
    </w:p>
    <w:p>
      <w:r>
        <w:rPr>
          <w:b/>
        </w:rPr>
        <w:t>E. 5.4.4</w:t>
      </w:r>
    </w:p>
    <w:p>
      <w:r>
        <w:t>Frankreich verfügt zweifellos über eine ausreichende medizinische Infrastruktur (statt vieler: Urteil F-3733/2020 E. 7.1.2; Urteil des BVGer F-2143/2020 vom 6. Mai 2020 E. 8.2.4). Sollte sich der über die Notfallversorgung hinausgehende Zugang zum Gesundheitssystem verzögern, könnten dem Beschwerdeführer allfällig erforderliche Medikamente auf Vorrat abgegeben werden. Die schweizerischen Behörden, die mit dem Vollzug der angefochtenen Verfügung beauftragt sind, werden den medizinischen Umständen bei der Bestimmung der konkreten Modalitäten der Überstellung Rechnung tragen und die französischen Behörden vorgängig in geeigneter Weise über die spezifischen gesundheitlichen Beeinträchtigungen und Bedürfnisse informieren (vgl. Art. 31 f. Dublin-III-VO).</w:t>
      </w:r>
    </w:p>
    <w:p>
      <w:r>
        <w:rPr>
          <w:b/>
        </w:rPr>
        <w:t>E. 5.5</w:t>
      </w:r>
    </w:p>
    <w:p>
      <w:r>
        <w:t>Nach dem Gesagten steht Art. 3 EMRK einer Überstellung des Beschwerdeführers nach Frankreich nicht entgegen. Im Übrigen kommt der Vorinstanz bei der Anwendung von Art. 29a Abs. 3 AsylV 1 Ermessen zu (vgl. BVGE 2015/9 E. 7 f.). Der Sachverhalt erweist sich vorliegend - wie bereits erwähnt - als hinreichend abgeklärt. Von einer Rückweisung der Sache zur ergänzenden Sachverhaltsabklärung ist abzusehen. Den Akten sind keine Hinweise auf eine gesetzeswidrige Ermessensausübung (Art. 106 Abs. 1 Bst. a AsylG) durch die Vorinstanz zu entnehmen. Es besteht daher kein Grund für eine Anwendung der Ermessensklauseln von Art. 17 Dublin-III-VO und Art. 29a Abs. 3 AsylV 1. Somit bleibt es bei der Zuständigkeit Frankreichs für die Durchführung des Asyl- und Wegweisungsverfahrens.</w:t>
      </w:r>
    </w:p>
    <w:p>
      <w:r>
        <w:rPr>
          <w:b/>
        </w:rPr>
        <w:t>E. 6</w:t>
      </w:r>
    </w:p>
    <w:p>
      <w:r>
        <w:t>Abschliessend ist darauf hinzuweisen, dass die aktuell herrschende besondere Lage im Zusammenhang mit der COVID-19-Pandemie lediglich ein temporäres Vollzugshindernis bildet. Eine Überstellung im Rahmen der Dublin-III-VO hat grundsätzlich innerhalb von sechs Monaten nach Annahme des Wiederaufnahmegesuchs, respektive nach Beschwerdeentscheid über die Überstellungsanordnung zu erfolgen. Sollte dies nicht möglich sein, wäre in der Schweiz das nationale Verfahren durchzuführen (Urteil des BVGer F-2626/2020 vom 3. Juni 2020 E. 5.2, m.w.H.). Eine allfällige Wartezeit im Rahmen der sechsmonatigen Frist ist vom Beschwerdeführer hinzunehmen. Eine Verletzung des Beschleunigungsgebots kann darin nicht erblickt werden.</w:t>
      </w:r>
    </w:p>
    <w:p>
      <w:r>
        <w:rPr>
          <w:b/>
        </w:rPr>
        <w:t>E. 7</w:t>
      </w:r>
    </w:p>
    <w:p>
      <w:r>
        <w:t>Es ergibt sich, dass Frankreich für die Durchführung des Asyl- und Wegweisungsverfahrens des Beschwerdeführers zuständig ist. Zu Recht ist die Vorinstanz in Anwendung von Art. 31a Abs. 1 Bst. b AsylG auf das Asylgesuch nicht eingetreten und hat in Anwendung von Art. 44 AsylG die Überstellung nach Frankreich angeordnet (Art. 32 Bst. a AsylV 1). Die Beschwerde ist abzuweisen. Der Antrag auf Gewährung der aufschiebenden Wirkung erweist sich mit der Ausfällung des vorliegenden Urteils als gegenstandslos.</w:t>
      </w:r>
    </w:p>
    <w:p>
      <w:r>
        <w:rPr>
          <w:b/>
        </w:rPr>
        <w:t>E. 8</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