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F-4682/2022 vom 26. September 2024</w:t>
      </w:r>
    </w:p>
    <w:p>
      <w:r>
        <w:t>Bundesverwaltungsgericht, 2024-09-26, DE</w:t>
      </w:r>
    </w:p>
    <w:p>
      <w:r>
        <w:rPr>
          <w:b/>
        </w:rPr>
        <w:t xml:space="preserve">Quelle: </w:t>
      </w:r>
      <w:r>
        <w:t>https://mcp.opencaselaw.ch/entscheid/bvger_F-4682_2022</w:t>
      </w:r>
    </w:p>
    <w:p>
      <w:r>
        <w:t>FR: TAF F-4682/2022 du 26 septembre 2024</w:t>
      </w:r>
    </w:p>
    <w:p>
      <w:r>
        <w:t>IT: TAF F-4682/2022 del 26 settembre 2024</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F-4682/2022 Seite 4</w:t>
      </w:r>
    </w:p>
    <w:p>
      <w:r>
        <w:rPr>
          <w:b/>
        </w:rPr>
        <w:t>E. 1.3</w:t>
      </w:r>
    </w:p>
    <w:p>
      <w:r>
        <w:t>Der Beschwerdeführer ist zur Erhebung des Rechtsmittels legitimiert (Art. 48 Abs. 1 VwVG). Auf die im Übrigen frist- und formgerecht einge- 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(BVGE 2014/1 E. 2).</w:t>
      </w:r>
    </w:p>
    <w:p>
      <w:r>
        <w:rPr>
          <w:b/>
        </w:rPr>
        <w:t>E. 3</w:t>
      </w:r>
    </w:p>
    <w:p>
      <w:r>
        <w:t>Der Beschwerdeführer ist Staatsangehöriger Portugals und damit einer Vertragspartei des Abkommens vom 21. Juni 1999 zwischen der Schwei- zerischen Eidgenossenschaft einerseits und der Europäischen Gemein- schaft und ihren Mitgliedstaaten andererseits über die Freizügigkeit (Frei- zügigkeitsabkommen, FZA, SR 0.142.112.681). Gemäss Art. 2 Abs. 2 AIG ist daher das ordentliche Ausländerrecht – bestehend aus dem AIG und seinen Ausführungsverordnungen – nur soweit anwendbar, als das FZA keine abweichenden Bestimmungen enthält oder die Bestimmungen des ordentlichen Ausländerrechts günstiger sind.</w:t>
      </w:r>
    </w:p>
    <w:p>
      <w:r>
        <w:rPr>
          <w:b/>
        </w:rPr>
        <w:t>E. 4.1</w:t>
      </w:r>
    </w:p>
    <w:p>
      <w:r>
        <w:t>Der Beschwerdeführer rügt, die Vorinstanz habe seinen Anspruch auf rechtliches Gehör verletzt, indem ihm am 15. September 2022 um 14:05 Uhr gleichzeitig mit der Gewährung des rechtlichen Gehörs bezüglich der Entfernungs- und Fernhaltemassnahme die Wegweisungsverfügung des Migrationsamts B._______ zugestellt worden sei. Die auf beiden Doku- menten aufgeführte identische Uhrzeit belege, dass der Wegweisungsent- scheid bereits vor einer möglichen Äusserung seinerseits gefällt worden sei. Das Einreiseverbot datiere ebenfalls vom 15. September 2022. Den Akten sei nicht zu entnehmen, um welche Uhrzeit das Migrationsamt das SEM um Erlass des Einreiseverbots ersucht habe und ob das Formular zum rechtlichen Gehör vor oder erst nach Erlass des Einreiseverbots dem SEM weitergeleitet worden sei. Sodann sei das rechtliche Gehör auch auf- grund einer mangelnden Übersetzung verletzt; er spreche lediglich</w:t>
      </w:r>
    </w:p>
    <w:p>
      <w:r>
        <w:t>F-4682/2022 Seite 5 gebrochen Deutsch und verstehe die juristischen Ausdrücke nicht. Er habe nie auf eine Stellungnahme verzichten wollen, sondern habe sich rechtlich vertreten lassen. Davon habe das Migrationsamt Kenntnis gehabt, habe es jedoch unterlassen, seine Rechtsvertreterin zum Gespräch einzuladen. Es liege eine besonders krasse Verletzung des rechtlichen Gehörs vor, wes- halb die angefochtene Verfügung aufzuheben sei. Diese formellen Rügen sind vorab zu beurteilen, da sie allenfalls geeignet wären, eine Kassation der vorinstanzlichen Verfügung zu bewirken.</w:t>
      </w:r>
    </w:p>
    <w:p>
      <w:r>
        <w:rPr>
          <w:b/>
        </w:rPr>
        <w:t>E. 4.2</w:t>
      </w:r>
    </w:p>
    <w:p>
      <w:r>
        <w:t>Gemäss Art. 29 Abs. 2 BV i.V.m. Art. 29 VwVG haben die Parteien An- spruch auf rechtliches Gehör. Dieser umfasst als Mitwirkungsrecht alle Be- fugnisse, die einer Partei einzuräumen sind, damit sie in einem Verfahren ihren Standpunkt wirksam zur Geltung bringen kann (vgl. BGE 144 I 11 E. 5.3; BVGE 2009/35 E. 6.4.1). Im Zentrum steht das Recht, vor dem Er- lass einer belastenden Verfügung angehört zu werden (Art. 30 VwVG). Mit dem Gehörsanspruch korreliert die Pflicht der Behörden, die Vorbringen tatsächlich zu hören, ernsthaft zu prüfen und in ihrer Entscheidfindung an- gemessen zu berücksichtigen. Die Begründungspflicht dient der rationalen und transparenten Entscheidfindung und soll die Betroffenen in die Lage versetzen, den Entscheid sachgerecht anzufechten. Das setzt voraus, dass die Behörde die Überlegungen nennt, von denen sie sich beim Ent- scheid leiten liess. Dabei ist sie nicht gehalten, zu jedem Argument der Partei explizit Stellung zu nehmen. Es genügt, wenn aus der Gesamtheit der Begründung implizit hervorgeht, weshalb das Vorgebrachte als unrich- tig oder unwesentlich übergangen wird (vgl. BGE 143 III 65 E. 5.2; BVGE 2012/24 E. 3.2).</w:t>
      </w:r>
    </w:p>
    <w:p>
      <w:r>
        <w:rPr>
          <w:b/>
        </w:rPr>
        <w:t>E. 4.3</w:t>
      </w:r>
    </w:p>
    <w:p>
      <w:r>
        <w:t>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statt vieler BGE 137 I 195 E. 2.3.2; WALDMANN/ BICKEL, in: Praxiskommentar VwVG, 3. Aufl. 2023, Art. 29 VwVG N 28). Im Fall einer Heilung ist der festgestellten Verletzung des Anspruchs auf recht- liches Gehör bei der Verlegung der Kosten Rechnung zu tragen, selbst wenn die Beschwerde in materieller Hinsicht abzuweisen ist (Urteil des</w:t>
      </w:r>
    </w:p>
    <w:p>
      <w:r>
        <w:t>F-4682/2022 Seite 6 BVGer A-2366/2018 vom 24. Mai 2018 E. 4.3 m.H.; vgl. BVGE 2017 I/4 E. 3).</w:t>
      </w:r>
    </w:p>
    <w:p>
      <w:r>
        <w:rPr>
          <w:b/>
        </w:rPr>
        <w:t>E. 4.4</w:t>
      </w:r>
    </w:p>
    <w:p>
      <w:r>
        <w:t>Zu beurteilen ist vorliegend, ob im Zusammenhang mit dem Einreise- verbot eine Verletzung des rechtlichen Gehörs vorliegt. Unbeachtlich sind die Einwände hinsichtlich des rechtlichen Gehörs im Zusammenhang mit der Wegweisungsverfügung; diese wurden sodann bereits im Verfahren (…) vom Appellationsgericht des Kantons B._______ beurteilt (Beilage zu act. 14). Es liegen keine Hinweise vor, dass das Einreiseverbot gleichzeitig mit der Gewährung des rechtlichen Gehörs diesbezüglich erlassen wurde. Eine allfällige Erklärung des Beschwerdeführers hätte damit im Einreise- verbot berücksichtigt werden können. Allerdings bleibt unklar, ob der por- tugiesische Beschwerdeführer, der nicht im Beisein seiner Rechtsvertrete- rin angehört wurde, zufolge mangelnder Kenntnisse einer Schweizerischen Amtssprache in der Lage war, sich mit voller Sachkenntnis zum möglichen Erlass eines Einreiseverbots zu äussern. Im Ergebnis ist zufolge der feh- lenden Übersetzung von einer Verletzung des Anspruchs auf rechtliches Gehör auszugehen. Da der Beschwerdeführer die Möglichkeit hatte, sich vor dem Bundesverwaltungsgericht zu äussern, welches über volle Kogni- tion verfügt, und sich eine Rückweisung der Sache zur erneuten Gehörs- gewährung als prozessualer Leerlauf erweisen würde, gilt die Gehörsver- letzung ausnahmsweise als geheilt. Sie ist jedoch bei der Kostenverlegung zu berücksichtigen (E. 4.3). Die Rechtsvertreterin des Beschwerdeführers wandte sich mit E-Mail vom 15. September 2022 an einen Mitarbeiter des Migrationsamts. Dieses leitete die E-Mail am Folgetag an den zuständigen Sachbearbeiter weiter, welcher umgehend mit der Rechtsvertreterin Kon- takt aufnahm (vgl. Beilage zu act. 14, E. 2.2.4). Der Strafvollzug gewährte dem Beschwerdeführer bereits am 15. September 2022 das rechtliche Ge- hör zu einem allfälligen Einreiseverbot und das SEM erliess am gleichen Tag die angefochtene Verfügung. Es bestand damit am 16. September 2022 kein Anlass mehr, das Formular betreffend Gewährung des rechtli- chen Gehörs der Rechtsvertreterin zuzustellen. Es ist nicht erkennbar, dass der Beschwerdeführer dadurch in seinem Anspruch auf Verbeistän- dung tangiert worden ist. Er konnte sich umgehend an seine Rechtsvertre- terin wenden, welche in der Folge gegen die Verfügung Beschwerde erhob.</w:t>
      </w:r>
    </w:p>
    <w:p>
      <w:r>
        <w:rPr>
          <w:b/>
        </w:rPr>
        <w:t>E. 5.1</w:t>
      </w:r>
    </w:p>
    <w:p>
      <w:r>
        <w:t>Nach Art. 67 aAbs. 2 Bst. a AIG (in der hier anwendbaren, bis am 21. November 2022 gültig gewesenen Fassung vom 18. Juni 2010 [AS 2010 5925]) kann das SEM ein Einreiseverbot gegenüber Ausländerinnen und Ausländern verfügen, die gegen die öffentliche Sicherheit und</w:t>
      </w:r>
    </w:p>
    <w:p>
      <w:r>
        <w:t>F-4682/2022 Seite 7 Ordnung in der Schweiz oder im Ausland verstossen haben oder diese ge- fährden. Das SEM verfügt sodann ein Einreiseverbot, wenn die Wegwei- sung nach Art. 64d Abs. 3 Bst. a–c AIG sofort vollstreckt wird (Art. 67 Abs. 1 Bst. a AIG). Das Einreiseverbot wird für eine Dauer von höchstens fünf Jahren angeordnet. Es kann für eine längere Dauer verfügt werden, wenn die betroffene Person eine schwerwiegende Gefahr für die öffentliche Si- cherheit und Ordnung darstellt (Art. 67 Abs. 3 AIG).</w:t>
      </w:r>
    </w:p>
    <w:p>
      <w:r>
        <w:rPr>
          <w:b/>
        </w:rPr>
        <w:t>E. 5.2</w:t>
      </w:r>
    </w:p>
    <w:p>
      <w:r>
        <w:t>Aus humanitären oder anderen wichtigen Gründen kann ausnahms- weise von der Verhängung eines Einreiseverbots abgesehen oder ein Ein- reiseverbot vollständig oder vorübergehend aufgehoben werden (Art. 67 Abs. 5 AIG).</w:t>
      </w:r>
    </w:p>
    <w:p>
      <w:r>
        <w:rPr>
          <w:b/>
        </w:rPr>
        <w:t>E. 6.1</w:t>
      </w:r>
    </w:p>
    <w:p>
      <w:r>
        <w:t>Im Anwendungsbereich des Freizügigkeitsabkommens stellt ein Einrei- severbot nach Art. 67 AIG eine Massnahme dar, welche die Ausübung ver- traglich zugesicherter Rechte auf Freizügigkeit – hier des Rechts auf Ein- reise (Art. 3 FZA) – einschränkt. Solche Massnahmen sind gemäss Art. 5 Abs. 1 Anhang I FZA nur zulässig, wenn sie aus Gründen der öffentlichen Ordnung, Sicherheit und Gesundheit gerechtfertigt sind (Ordre-Public-Vor- behalt). Die Konkretisierung des Ordre-Public-Vorbehalts erfolgt durch die drei Richtlinien 64/221/EWG (ABl. Nr. 56/850 vom 4.4.1964), 72/194/EWG (ABl. Nr. L 121/32 vom 26.5.1972) und 75/35/EWG (ABl. Nr. L 14/14 vom 20.1.1975) in ihrer Fassung zum Zeitpunkt der Unterzeichnung des Freizü- gigkeitsabkommens (Art. 16 Abs. 1 FZA i.V.m. Art. 5 Abs. 2 Anhang I FZA) und die vor diesem Zeitpunkt bestandene, einschlägige Rechtsprechung des Gerichtshofs der Europäischen Gemeinschaft (EuGH; Art. 16 Abs. 2 FZA). In diesem Sinne schränkt das Freizügigkeitsabkommen die auslän- derrechtlichen Befugnisse nationaler Behörden bei der Handhabung aus- länderrechtlicher Massnahmen wie des Einreiseverbots ein.</w:t>
      </w:r>
    </w:p>
    <w:p>
      <w:r>
        <w:rPr>
          <w:b/>
        </w:rPr>
        <w:t>E. 6.2</w:t>
      </w:r>
    </w:p>
    <w:p>
      <w:r>
        <w:t>Abweichungen vom Grundsatz des freien Personenverkehrs sind nach der Rechtsprechung eng auszulegen. Art. 5 Abs. 1 Anhang I FZA setzt aus- ser der Störung der öffentlichen Ordnung und Sicherheit, wie sie jede Ge- setzesverletzung darstellt, eine tatsächliche und hinreichend schwere Ge- 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 urteilung für sich allein nicht genügt. Sie kann nur insoweit herangezogen werden, als die ihr zugrundeliegenden Umstände ein persönliches</w:t>
      </w:r>
    </w:p>
    <w:p>
      <w:r>
        <w:t>F-4682/2022 Seite 8 Verhalten erkennen lassen, das eine gegenwärtige Gefährdung der öffent- lichen Ordnung und Sicherheit darstellt. Art. 5 Anhang I FZA steht mit an- deren Worten Massnahmen entgegen, die im Sinne eines Automatismus an vergangenes Fehlverhalten anknüpfen, und solchen, die aus Gründen der Generalprävention angeordnet werden. Insoweit kommt es im Unter- schied zum Landesrecht auf das Rückfallrisiko an, wobei die in Kauf zu nehmende Rückfallgefahr desto geringer ist, je schwerer die möglichen Rechtsgüterverletzungen wiegen (vgl. BGE 139 II 121 E. 5.3).</w:t>
      </w:r>
    </w:p>
    <w:p>
      <w:r>
        <w:rPr>
          <w:b/>
        </w:rPr>
        <w:t>E. 7.1</w:t>
      </w:r>
    </w:p>
    <w:p>
      <w:r>
        <w:t>Die Vorinstanz führt aus, aufgrund der Verfehlungen des Beschwerde- führers bestehe ein grosses öffentliches Interesse an seiner Fernhaltung. Unter Berücksichtigung des bisherigen Verhaltens und der an den Tag ge- legten kleinkriminellen Energie sei von einer Rückfallgefahr auszugehen. Damit sei auch die geforderte gegenwärtige und hinreichend schwere Ge- fahr für die Grundinteressen der Gemeinschaft (Sicherheit und Ordnung) gegeben. Zudem sei er von der zuständigen Behörde mit sofortiger Voll- streckbarkeit aus der Schweiz weggewiesen worden, weshalb auch aus diesem Grund eine Fernhaltemassnahme anzuordnen sei.</w:t>
      </w:r>
    </w:p>
    <w:p>
      <w:r>
        <w:rPr>
          <w:b/>
        </w:rPr>
        <w:t>E. 7.2</w:t>
      </w:r>
    </w:p>
    <w:p>
      <w:r>
        <w:t>Der Beschwerdeführer erwidert, er sei lediglich wegen Bagatelldelikten verurteilt worden und nun erstmals für ein paar Monate inhaftiert gewesen. Eine Gefahr für die öffentliche Sicherheit und Ordnung stelle er nicht dar. Die Delikte habe er im Zusammenhang mit Beschaffungskriminalität be- gangen. Er sei nunmehr frei von seiner Drogensucht, weshalb keine Rück- fallgefahr mehr bestehe. Das Strafgericht des Kantons B._______ habe sodann im Urteil vom 21. Oktober 2021, trotz Verurteilung wegen Hausfrie- densbruchs in Verbindung mit Diebstahl, auf die Anordnung einer Landes- verweisung verzichtet. Werde vom Sachrichter auf eine Landesverweisung verzichtet, dürfe dieser Entscheid nicht durch ein Einreiseverbot umgangen werden. Die sofortige Wegweisung sei sodann unverhältnismässig und noch nicht rechtskräftig, weshalb gestützt darauf kein Einreiseverbot ver- hängt werden dürfe. Weiter verstosse es gegen das Prinzip von Treu und Glauben gemäss Art. 9 BV, wenn ihm erst zwei Arbeitstage vor seiner Haft- entlassung mitgeteilt werde, dass er weggewiesen und ein Einreiseverbot verfügt werde. Er habe sich während Monaten auf seine Entlassung aus dem Strafvollzug vorbereitet und sich in C._______ sowohl eine Wohnung als auch eine Arbeit organisiert. Ein Sachurlaub für die Erneuerung seiner Identitätskarte sei ihm sodann nicht gewährt worden mit der Begründung, er könne sich auch nach seiner Entlassung darum kümmern. Aufgrund sei- ner sofortigen Wegweisung aus der Schweiz habe er jedoch den Termin</w:t>
      </w:r>
    </w:p>
    <w:p>
      <w:r>
        <w:t>F-4682/2022 Seite 9 beim portugiesischen Konsulat nicht wahrnehmen können und verfüge deshalb über kein gültiges Reisedokument. Durch die Vollzugsbehörde sei ihm implizit die Bestätigung erteilt worden, er könne sich nach seiner Ent- lassung um den weiteren Aufenthalt in der Schweiz kümmern. Die Migrati- onsbehörden hätten ihm viel früher das rechtliche Gehör gewähren können und er hätte dadurch genügend Zeit gehabt, eine Anschlusslösung aus- serhalb der Schweiz zu organisieren. Auch aus diesem Grund sei das Ein- reiseverbot nicht verhältnismässig.</w:t>
      </w:r>
    </w:p>
    <w:p>
      <w:r>
        <w:rPr>
          <w:b/>
        </w:rPr>
        <w:t>E. 7.3</w:t>
      </w:r>
    </w:p>
    <w:p>
      <w:r>
        <w:t>In ihrer Vernehmlassung macht die Vorinstanz ergänzend geltend, aus dem Urteil des Strafgerichts des Kantons B._______ vom 21. Oktober 2021 gehe nicht hervor, dass das Gericht explizit auf die Anordnung einer Landesverweisung verzichtet habe. Der Beschwerdeführer habe sodann bereits vor der Einführung der Landesverweisung (1. Oktober 2016) Straf- taten begangen, weshalb das SEM auch diesbezüglich eine Fernhalte- massnahme verfügen könne. Zudem dürfe, unabhängig davon, ob das Strafgericht eine Landesverweisung angeordnet oder darauf verzichtet habe, die Möglichkeit geprüft werden, ob die Verhängung eines Einreise- verbots angezeigt sei, wenn die sofortige Vollstreckung der Wegweisung angeordnet worden sei. Mit Verfügung vom 15. September 2022 sei er aus der Schweiz weggewiesen worden und die Wegweisung für sofort voll- streckbar erklärt worden. Diese Verfügung sei vom Appellationsgericht des Kantons B._______ mit Urteil vom 10. Januar 2023 bestätigt worden und der Entscheid sei in Rechtskraft erwachsen.</w:t>
      </w:r>
    </w:p>
    <w:p>
      <w:r>
        <w:rPr>
          <w:b/>
        </w:rPr>
        <w:t>E. 7.4</w:t>
      </w:r>
    </w:p>
    <w:p>
      <w:r>
        <w:t>Replizierend erwidert der Beschwerdeführer, bei den ersten drei, der Vorinstanz angeführten Vorstrafen handle es sich um Bagatelldelikte und bei der Verurteilung von sieben Monaten Freiheitsstrafe liege die Strafe nur knapp über der Grenze, gemäss welcher noch ein Strafbefehl hätte ausge- stellt werden können. Er sei damals in Abwesenheit verurteilt worden und es handle sich um Vorwürfe der Beschaffungskriminalität für seinen Dro- genkonsum. Beschaffungskriminalität im Bagatellbereich sei nicht geeig- net, eine hinreichend starke Gefährdung der öffentlichen Sicherheit und Ordnung zu begründen, die zur Einschränkung des Grundsatzes der Per- sonenfreizügigkeit führen könne. Später sei er rechtmässig in die Schweiz eingereist, um hier eine Anstellung anzutreten. Bei der von der Vorinstanz aufgeführten Verurteilung aus dem Jahre 2017 handle es sich um Taten, die in den Jahren 2013/2014 verübt worden seien. Eine Straftat, die bereits über zehn Jahre zurückliege, vermöge keine aktuelle Gefahr gegen die öf- fentliche Sicherheit und Ordnung zu begründen. Berücksichtigt werden müsse sodann, dass er keine Drogen mehr konsumiere. Dies zeige sich</w:t>
      </w:r>
    </w:p>
    <w:p>
      <w:r>
        <w:t>F-4682/2022 Seite 10 aufgrund des mehrmonatigen Strafvollzugs. Gegen den Strafbefehl vom 4. Januar 2023 sei Einsprache erhoben worden und das Verfahren sei mit Verfügung vom 4. Juli 2023 eingestellt worden.</w:t>
      </w:r>
    </w:p>
    <w:p>
      <w:r>
        <w:rPr>
          <w:b/>
        </w:rPr>
        <w:t>E. 8.1</w:t>
      </w:r>
    </w:p>
    <w:p>
      <w:r>
        <w:t>Vorab ist festzuhalten, dass im vorliegenden Verfahren nicht darüber befunden werden kann, ob ein Sachurlaub für die Erneuerung der Identi- tätskarte zu Unrecht nicht gewährt wurde und ob die Haftentlassung korrekt erfolgte. Auf die diesbezüglichen Ausführungen des Beschwerdeführers im Zusammenhang mit der geltend gemachten Verletzung des Anspruchs von Treu und Glauben ist deshalb nicht einzugehen.</w:t>
      </w:r>
    </w:p>
    <w:p>
      <w:r>
        <w:rPr>
          <w:b/>
        </w:rPr>
        <w:t>E. 8.2</w:t>
      </w:r>
    </w:p>
    <w:p>
      <w:r>
        <w:t>Der Beschwerdeführer wurde zwischen 2017 und 2023 mehrmals straf- rechtlich verurteilt, unter anderem mehrfach wegen Widerhandlung gegen das Betäubungsmittelgesetz mit einer Gefährdung der Gesundheit vieler Menschen und mehrfachen Diebstählen. Vom Strafgericht des Kantons B._______ wurde er sodann mit Urteil (…) vom 21. Oktober 2021 wegen mehrfachen Diebstahls, geringfügigen Vermögensdelikts, mehrfachen Hausfriedensbruchs, mehrfacher Hinderung einer Amtshandlung, mehrfa- chen Fahrens in fahrunfähigem Zustand (motorloses Fahrzeug) sowie mehrfacher Übertretung des Betäubungsmittelgesetzes für schuldig erklärt und zu einer Freiheitsstrafe von sieben Monaten, einer Geldstrafe von 100 Tagessätzen zu Fr. 10.– sowie zu einer Busse von Fr. 800.– verurteilt (vgl. act. 24 Beilage 4). Der Beschwerdeführer macht geltend, das Strafgericht des Kantons B._______ habe trotz Vorliegens einer Katalogtat (Diebstahl in Verbindung mit Hausfriedensbruch) auf die Anordnung einer Landesver- weisung verzichtet, weshalb die Vorinstanz kein Einreiseverbot hätte ver- fügen dürfen. Das Urteil (…) wurde gestützt auf Art. 82 StPO ohne schrift- liche Begründung erlassen. Der Sachverhalt ergibt sich aus den Notizen der mündlichen Begründung (Akten des Strafgerichts des Kantons B._______ act. 051). Der Beschuldigte hat trotz eines gegen ihn ausge- sprochenen Hausverbots mehrfach eine Filiale der Coop Genossenschaft betreten und dort mehrere Diebstähle begangen. Theoretisch ist der mit einem Hausverbot belegte Ladendieb zwar als Katalogtat für die Landes- verweisung im Sinne von Art. 66a Abs. 1 Bst. d StGB erfasst, gemäss Art. 121 Abs. 3 lit. a BV sollte jedoch einzig das «Einbruchsdelikt», nicht aber ein Ladendiebstahl zu einer Landesverweisung führen. Im Sinne einer his- torischen Auslegung ist deshalb bei diesem Sachverhalt von einer Landes- verweisung abzusehen (BSK StGB-ZURBRÜGG/HRUSCHKA, Art. 66a N 16; BRUN/FABBRI, recht 2017, 236 f.). Das Strafgericht musste sich damit nicht mit der Landesverweisung befassen und hat auch nicht explizit auf eine</w:t>
      </w:r>
    </w:p>
    <w:p>
      <w:r>
        <w:t>F-4682/2022 Seite 11 solche verzichtet. Die Vorinstanz war damit zur Verfügung eines Einreise- verbots befugt. Die begangenen Delikte stellen keine Bagatellen oder Missachtung einer Formalie dar. Aufgrund dieser Strafbestimmungen kön- nen auch Schweizerinnen und Schweizer bestraft werden, weshalb eine in diesem Zusammenhang gegen einen EU-Bürger verhängte Massnahme keine Diskriminierung gemäss Art. 2 FZA darstellt. Mit seiner wiederholten Straffälligkeit hat der Beschuldigte zweifelsfrei gegen die öffentliche Sicher- heit und Ordnung verstossen. Der Fernhaltegrund nach Art. 67 aAbs. 2 Bst. a AIG ist somit gesetzt.</w:t>
      </w:r>
    </w:p>
    <w:p>
      <w:r>
        <w:rPr>
          <w:b/>
        </w:rPr>
        <w:t>E. 8.3</w:t>
      </w:r>
    </w:p>
    <w:p>
      <w:r>
        <w:t>Zu prüfen bleibt, ob beim Beschwerdeführer ein Rückfallrisiko besteht. Er wurde mit Urteil des Appellationsgerichts des Kantons B._______ vom 7. November 2017 wegen Betäubungsmitteldelikten, unter anderem wegen der Gefährdung der Gesundheit vieler Menschen zu einer Freiheitsstrafe von 12 Monaten verurteilt. Am 21. Mai 2019 verurteilte ihn die Staatsan- waltschaft des Kantons B._______ wegen Diebstahls und Betrugs zu einer Geldstrafe von 90 Tagessätzen zu Fr. 30.– sowie zu einer Busse von Fr. 400.–. Weiter wurde er mit dem bereits erwähnten Urteil des Strafge- richts des Kantons B._______ (…) vom 21. Oktober 2021 für begangene Taten im Zeitraum von August 2018 bis Januar 2021 verurteilt (vgl. act. 24 Beilage 2 Strafregisterauszug vom 1. Mai 2023). Der mündlichen Begrün- dung des letztgenannten Urteils ist zu entnehmen, dass es sich bei den verübten Delikten überwiegend um Beschaffungsdelinquenz für den eige- nen Drogenkonsum gehandelt hatte (Akten Strafgericht des Kantons B._______ act. 051). Der Beschwerdeführer macht geltend, nunmehr suchtfrei zu sein, reicht diesbezüglich jedoch keine Belege (Therapiebe- richte, Drogentest, etc.) ein. Anlässlich seiner Inhaftierung am 19. Septem- ber 2023 wurde sodann auf dem Festnahme-Rapport vermerkt, dass der Beschwerdeführer aufgrund seiner Drogenabhängigkeit krank sei (SEM- Akten Festnahme-Rapport der Kantonspolizei B._______ vom 19. Sep- tember 2023). Am 19. September 2022 wurde er bedingt aus dem Strafvollzug entlassen, unter Ansetzung einer Probezeit von einem Jahr. Noch während laufender Probezeit reiste er mehrmals trotz Einreiseverbot – die aufschiebende Wir- kung der Beschwerde wurde mit Zwischenverfügung des Bundesverwal- tungsgerichts vom 9. Februar 2023 nicht gewährt – in die Schweiz ein, weshalb er mit Strafbefehlen vom 9. August ([…]) und 21. September 2023 ([…]) zu Freiheitsstrafen von 120 beziehungsweise von 60 Tagen verurteilt wurde (SEM-Akten Entscheid Straf- und Massnahmenvollzug vom 29. No- vember 2023 und BVGer-Akten act. 36). Auch wenn die letztgenannten</w:t>
      </w:r>
    </w:p>
    <w:p>
      <w:r>
        <w:t>F-4682/2022 Seite 12 Verurteilungen nicht für die Verhängung eines Einreiseverbots herangezo- gen werden können, zeigt das Verhalten des Beschwerdeführers dennoch, dass er sich nicht an die hiesigen Gesetze halten kann. Insgesamt ist damit nicht von einer günstigen Prognose auszugehen. Aufgrund der Art und Häufigkeit der Straftaten und der damit verbundenen Rechtsgüterverlet- zungen reicht die Rückfallgefahr aus, um von einer gegenwärtigen, tat- sächlichen und hinreichend schweren Gefahr für die öffentliche Sicherheit und Ordnung im Sinne von Art. 5 Abs. 1 Anhang I FZA auszugehen.</w:t>
      </w:r>
    </w:p>
    <w:p>
      <w:r>
        <w:rPr>
          <w:b/>
        </w:rPr>
        <w:t>E. 9.1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 tungsrecht, 8. Aufl. 2020, Rz. 555 ff.).</w:t>
      </w:r>
    </w:p>
    <w:p>
      <w:r>
        <w:rPr>
          <w:b/>
        </w:rPr>
        <w:t>E. 9.2</w:t>
      </w:r>
    </w:p>
    <w:p>
      <w:r>
        <w:t>Vom Beschwerdeführer geht eine rechtserhebliche Gefahr für die öf- fentliche Sicherheit und Ordnung aus. Er wurde mehrfach straffällig und gefährdete hochwertige Rechtsgüter, weshalb ein erhebliches öffentliches Interesse an seiner Fernhaltung für längere Zeit besteht.</w:t>
      </w:r>
    </w:p>
    <w:p>
      <w:r>
        <w:rPr>
          <w:b/>
        </w:rPr>
        <w:t>E. 9.3</w:t>
      </w:r>
    </w:p>
    <w:p>
      <w:r>
        <w:t>Den öffentlichen Interessen sind die privaten Interessen des Beschwer- deführers gegenüberzustellen. Er führt an, sich auf die Zeit nach der Ent- lassung aus dem Strafvollzug vorbereitet und sich eine Wohnung sowie eine Arbeitsstelle organisiert zu haben. Belege reicht er dazu jedoch keine ein. Weiter macht er nicht geltend, in der Schweiz über enge familiäre oder andere Beziehungen zu verfügen. Bereits vor seiner Inhaftierung lebte er nicht dauerhaft in der Schweiz, sondern gab jeweils eine Adresse in Frank- reich als Wohnort an (vgl. SEM-Akten act. 3).</w:t>
      </w:r>
    </w:p>
    <w:p>
      <w:r>
        <w:rPr>
          <w:b/>
        </w:rPr>
        <w:t>E. 9.4</w:t>
      </w:r>
    </w:p>
    <w:p>
      <w:r>
        <w:t>Zusammenfassend kann festgehalten werden, dass das private Inte- resse des Beschwerdeführers, ungehindert in die Schweiz einreisen zu können, das gewichtige öffentliche Interesse am Schutz der öffentlichen Sicherheit vor weiteren Straftaten angesichts der Rückfallgefährdung nicht zu überwiegen vermag. Die Dauer des Einreiseverbots von drei Jahren er- weist sich in einer Gesamtbetrachtung und unter Berücksichtigung der</w:t>
      </w:r>
    </w:p>
    <w:p>
      <w:r>
        <w:t>F-4682/2022 Seite 13 Praxis des Bundesverwaltungsgerichts in ähnlichen Fällen als verhältnis- mässig (vgl. Urteil des BVGer F-2758/2021 vom 21. Dezember 2022).</w:t>
      </w:r>
    </w:p>
    <w:p>
      <w:r>
        <w:rPr>
          <w:b/>
        </w:rPr>
        <w:t>E. 9.5</w:t>
      </w:r>
    </w:p>
    <w:p>
      <w:r>
        <w:t>Schliesslich bestehen keine humanitären oder anderen wichtigen Gründe, welche es rechtfertigen könnten, von der Verhängung eines Ein- reiseverbots ganz abzusehen (Art. 67 Abs. 5 AuG).</w:t>
      </w:r>
    </w:p>
    <w:p>
      <w:r>
        <w:rPr>
          <w:b/>
        </w:rPr>
        <w:t>E. 10</w:t>
      </w:r>
    </w:p>
    <w:p>
      <w:r>
        <w:t>Die angefochtene Verfügung erweist sich als rechtmässig im Sinne von Art. 49 VwVG. Die Beschwerde ist abzuweisen.</w:t>
      </w:r>
    </w:p>
    <w:p>
      <w:r>
        <w:rPr>
          <w:b/>
        </w:rPr>
        <w:t>E. 11.1</w:t>
      </w:r>
    </w:p>
    <w:p>
      <w:r>
        <w:t>Bei diesem Ausgang des Verfahrens wären die Kosten dem Be- schwerdeführer aufzuerlegen (Art. 63 Abs. 1 VwVG). Zufolge der gewähr- ten unentgeltlichen Prozessführung ist jedoch auf die Erhebung von Ver- fahrenskosten zu verzichten.</w:t>
      </w:r>
    </w:p>
    <w:p>
      <w:r>
        <w:rPr>
          <w:b/>
        </w:rPr>
        <w:t>E. 11.2</w:t>
      </w:r>
    </w:p>
    <w:p>
      <w:r>
        <w:t>Das Gesuch um Beiordnung der rubrizierten Rechtsvertreterin als un- entgeltliche Rechtsbeiständin wurde mit Zwischenverfügung vom 9. Feb- ruar 2023 gutgeheissen. Die notwendigerweise erwachsenen Parteikosten sind deshalb durch das Bundesverwaltungsgericht zu übernehmen (vgl. Art. 65 Abs. 2 VwVG i.V.m. Art. 9–14 des Reglements vom 21. Februar 2008 über die Kosten und Entschädigungen vor dem Bundesverwaltungs- gericht [VGKE, SR 173.320.2]). Nach Praxis des Gerichts werden amtlich bestellte Rechtsvertreter mit Anwaltspatent mit einem Stundensatz von Fr. 200.– bis 220.– entschädigt (vgl. Art. 12 i.V.m. Art. 10 Abs. 2 VGKE). Es wurde keine Kostennote eingereicht, weshalb die notwendigen Parteikos- ten aufgrund der Akten zu bestimmen sind (Art. 14 Abs. 2 in fine VGKE). Gestützt auf die in Betracht zu ziehenden Bemessungsfaktoren (Art. 9–13 VGKE) erscheint ein Aufwand von sechs Stunden zu Fr. 220.– für das vor- liegende Beschwerdeverfahren als angemessen. Der Rechtsbeiständin ist zu Lasten des Bundesverwaltungsgerichts ein Honorar von insgesamt Fr. 1’320.– (inkl. Auslagen und Mehrwertsteuerzuschlag i.S.v. Art. 9 Abs. 1 Bst. c VGKE) zuzusprechen. (Dispositiv nächste Seite)</w:t>
      </w:r>
    </w:p>
    <w:p>
      <w:r>
        <w:t>F-4682/2022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